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B8F9" w14:textId="05C08ADB" w:rsidR="00C5415C" w:rsidRPr="006B6493" w:rsidRDefault="001C597D" w:rsidP="007D2D78">
      <w:pPr>
        <w:pStyle w:val="FHWATitle"/>
      </w:pPr>
      <w:r w:rsidRPr="006B6493">
        <w:t>State Plan</w:t>
      </w:r>
      <w:r w:rsidR="00EB3B66">
        <w:t>/State Plan Update</w:t>
      </w:r>
      <w:r w:rsidRPr="006B6493">
        <w:t xml:space="preserve"> for Electric Vehicle</w:t>
      </w:r>
      <w:r w:rsidR="00655258">
        <w:t xml:space="preserve"> (EV)</w:t>
      </w:r>
      <w:r w:rsidRPr="006B6493">
        <w:t xml:space="preserve"> Infrastructure </w:t>
      </w:r>
      <w:r w:rsidR="005A60F8" w:rsidRPr="006B6493">
        <w:t>Deployment [</w:t>
      </w:r>
      <w:r w:rsidRPr="00565C95">
        <w:rPr>
          <w:color w:val="auto"/>
        </w:rPr>
        <w:t>TEMPLATE</w:t>
      </w:r>
      <w:r w:rsidR="00977485" w:rsidRPr="00565C95">
        <w:rPr>
          <w:color w:val="auto"/>
        </w:rPr>
        <w:t>]</w:t>
      </w:r>
    </w:p>
    <w:p w14:paraId="79421049" w14:textId="7677C18B" w:rsidR="00472DEA" w:rsidRPr="006B6493" w:rsidRDefault="00472DEA" w:rsidP="001806E2"/>
    <w:p w14:paraId="799BEF18" w14:textId="3F111BA2" w:rsidR="00472DEA" w:rsidRPr="00E77CFA" w:rsidRDefault="00E77CFA" w:rsidP="00341910">
      <w:pPr>
        <w:pStyle w:val="BodyText"/>
      </w:pPr>
      <w:r>
        <w:t>B</w:t>
      </w:r>
      <w:r w:rsidR="00CA1967">
        <w:t xml:space="preserve">eginning with the FY 2025 Plan, State DOTs are permitted to meet the NEVI requirements by completing this </w:t>
      </w:r>
      <w:r w:rsidR="00D234EE">
        <w:t>streamlined</w:t>
      </w:r>
      <w:r w:rsidR="00CA1967">
        <w:t xml:space="preserve"> template. </w:t>
      </w:r>
      <w:r w:rsidR="00341910">
        <w:t>I</w:t>
      </w:r>
      <w:r w:rsidR="007A2695" w:rsidRPr="00341910">
        <w:t xml:space="preserve">n the following pages </w:t>
      </w:r>
      <w:r w:rsidR="00834C7F" w:rsidRPr="00341910">
        <w:t xml:space="preserve">several section instructions are </w:t>
      </w:r>
      <w:r w:rsidRPr="00341910">
        <w:t xml:space="preserve">described as UPDATES ONLY. </w:t>
      </w:r>
      <w:r w:rsidRPr="00E77CFA">
        <w:t>T</w:t>
      </w:r>
      <w:r w:rsidR="00834C7F" w:rsidRPr="00E77CFA">
        <w:t xml:space="preserve">hose sections need updates </w:t>
      </w:r>
      <w:r w:rsidR="00834C7F" w:rsidRPr="00E77CFA">
        <w:rPr>
          <w:i/>
          <w:iCs/>
        </w:rPr>
        <w:t>only if</w:t>
      </w:r>
      <w:r w:rsidR="00834C7F" w:rsidRPr="00E77CFA">
        <w:t xml:space="preserve"> relevant updates have been made since the submittal of the previously approved plan</w:t>
      </w:r>
      <w:r w:rsidR="00DF60EF" w:rsidRPr="00E77CFA">
        <w:t>.</w:t>
      </w:r>
      <w:r w:rsidRPr="00E77CFA">
        <w:t xml:space="preserve"> If updates are required, please see Section III-B of the NEVI Formula Program Guidance for further guidance.</w:t>
      </w:r>
      <w:r w:rsidR="00DF60EF" w:rsidRPr="00E77CFA">
        <w:rPr>
          <w:b/>
          <w:bCs/>
        </w:rPr>
        <w:t xml:space="preserve"> If no change has been made in these sections, States may simply indicate “No Change”.</w:t>
      </w:r>
      <w:r w:rsidR="00DF60EF" w:rsidRPr="00E77CFA">
        <w:t xml:space="preserve"> </w:t>
      </w:r>
      <w:r w:rsidR="006021EB" w:rsidRPr="00E77CFA">
        <w:t xml:space="preserve">States are highly encouraged to </w:t>
      </w:r>
      <w:r w:rsidR="00CA1967" w:rsidRPr="00E77CFA">
        <w:t xml:space="preserve">complete </w:t>
      </w:r>
      <w:r w:rsidR="006021EB" w:rsidRPr="00E77CFA">
        <w:t xml:space="preserve">this template to </w:t>
      </w:r>
      <w:r w:rsidR="00CA1967" w:rsidRPr="00E77CFA">
        <w:t xml:space="preserve">serve as </w:t>
      </w:r>
      <w:r w:rsidR="006021EB" w:rsidRPr="00E77CFA">
        <w:t>the</w:t>
      </w:r>
      <w:r w:rsidR="00394504" w:rsidRPr="00E77CFA">
        <w:t>ir</w:t>
      </w:r>
      <w:r w:rsidR="00CC06E5" w:rsidRPr="00E77CFA">
        <w:t xml:space="preserve"> updated</w:t>
      </w:r>
      <w:r w:rsidR="006021EB" w:rsidRPr="00E77CFA">
        <w:t xml:space="preserve"> Plan</w:t>
      </w:r>
      <w:r w:rsidR="00394504" w:rsidRPr="00E77CFA">
        <w:t>.</w:t>
      </w:r>
    </w:p>
    <w:p w14:paraId="384BCDD1" w14:textId="77777777" w:rsidR="00AA59AF" w:rsidRDefault="00AA59AF" w:rsidP="00690B17">
      <w:pPr>
        <w:pStyle w:val="BodyText"/>
      </w:pPr>
    </w:p>
    <w:p w14:paraId="0B59FDDE" w14:textId="455435E6" w:rsidR="004A56FC" w:rsidRPr="00B44681" w:rsidRDefault="004A56FC" w:rsidP="001C597D">
      <w:pPr>
        <w:pStyle w:val="FHWASubtitle"/>
        <w:rPr>
          <w:sz w:val="24"/>
          <w:szCs w:val="24"/>
        </w:rPr>
      </w:pPr>
      <w:bookmarkStart w:id="0" w:name="_Toc90022558"/>
      <w:r w:rsidRPr="006B6493">
        <w:t>Introduction</w:t>
      </w:r>
      <w:bookmarkEnd w:id="0"/>
      <w:r w:rsidR="00315671">
        <w:t xml:space="preserve"> </w:t>
      </w:r>
    </w:p>
    <w:p w14:paraId="166CD8F6" w14:textId="12FC887E" w:rsidR="004A56FC" w:rsidRPr="00B82049" w:rsidRDefault="00B82049" w:rsidP="00333137">
      <w:pPr>
        <w:rPr>
          <w:color w:val="FF0000"/>
        </w:rPr>
      </w:pPr>
      <w:r w:rsidRPr="00185B9B">
        <w:t>&lt;</w:t>
      </w:r>
      <w:r w:rsidR="00E77CFA">
        <w:rPr>
          <w:i/>
          <w:iCs/>
        </w:rPr>
        <w:t>UPDATES ONLY</w:t>
      </w:r>
      <w:r w:rsidR="008E4B39" w:rsidRPr="00F80572">
        <w:rPr>
          <w:i/>
          <w:iCs/>
        </w:rPr>
        <w:t>&gt;</w:t>
      </w:r>
    </w:p>
    <w:p w14:paraId="62893764" w14:textId="30474FE4" w:rsidR="000934D2" w:rsidRDefault="000934D2" w:rsidP="00333137"/>
    <w:p w14:paraId="3CC5BD63" w14:textId="67C39EFA" w:rsidR="000934D2" w:rsidRPr="008F1F0A" w:rsidRDefault="002E04D4" w:rsidP="00B305F0">
      <w:pPr>
        <w:pStyle w:val="FHWAParagraghHeading"/>
        <w:ind w:left="720"/>
        <w:rPr>
          <w:color w:val="auto"/>
        </w:rPr>
      </w:pPr>
      <w:r>
        <w:t xml:space="preserve">Updates from Prior Plan </w:t>
      </w:r>
      <w:r w:rsidR="00A16A20">
        <w:rPr>
          <w:color w:val="auto"/>
        </w:rPr>
        <w:t>[REQUIRED]</w:t>
      </w:r>
    </w:p>
    <w:p w14:paraId="3F6D4C8D" w14:textId="2542D622" w:rsidR="004D1AD8" w:rsidRDefault="008E4B39" w:rsidP="00B305F0">
      <w:pPr>
        <w:widowControl/>
        <w:autoSpaceDE/>
        <w:autoSpaceDN/>
        <w:spacing w:after="160" w:line="259" w:lineRule="auto"/>
        <w:ind w:left="720"/>
      </w:pPr>
      <w:r w:rsidRPr="00185B9B">
        <w:t xml:space="preserve">&lt;Insert </w:t>
      </w:r>
      <w:r w:rsidR="002E04D4">
        <w:t xml:space="preserve">a bulleted list identifying which sections of the </w:t>
      </w:r>
      <w:r w:rsidR="00434E94">
        <w:t>P</w:t>
      </w:r>
      <w:r w:rsidR="002E04D4">
        <w:t xml:space="preserve">lan have been updated from the prior fiscal year’s </w:t>
      </w:r>
      <w:r w:rsidR="00434E94">
        <w:t>P</w:t>
      </w:r>
      <w:r w:rsidR="002E04D4">
        <w:t>lan, along with a brief synopsis of the nature of the update</w:t>
      </w:r>
      <w:r w:rsidRPr="00185B9B">
        <w:t>&gt;</w:t>
      </w:r>
    </w:p>
    <w:p w14:paraId="4FC4E1D4" w14:textId="7752BF67" w:rsidR="00D106E8" w:rsidRPr="00B44681" w:rsidRDefault="00D106E8" w:rsidP="001F23B8">
      <w:pPr>
        <w:pStyle w:val="FHWASubtitle"/>
        <w:rPr>
          <w:sz w:val="24"/>
          <w:szCs w:val="24"/>
        </w:rPr>
      </w:pPr>
      <w:r w:rsidRPr="00E318DD">
        <w:t>State Agency Coordination</w:t>
      </w:r>
      <w:r w:rsidR="004E1B57">
        <w:t xml:space="preserve"> </w:t>
      </w:r>
    </w:p>
    <w:p w14:paraId="06C5EF9D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11ECCAED" w14:textId="6CB7620D" w:rsidR="00177625" w:rsidRPr="00B82049" w:rsidRDefault="00177625" w:rsidP="00177625"/>
    <w:p w14:paraId="47C4E443" w14:textId="2FB6AD65" w:rsidR="00326F3C" w:rsidRPr="006B6493" w:rsidRDefault="001F23B8" w:rsidP="001806E2">
      <w:pPr>
        <w:pStyle w:val="FHWASubtitle"/>
      </w:pPr>
      <w:bookmarkStart w:id="1" w:name="_Toc89879077"/>
      <w:bookmarkStart w:id="2" w:name="_Toc90022561"/>
      <w:r>
        <w:t>Public Engagement</w:t>
      </w:r>
      <w:r w:rsidR="00E70D08">
        <w:t xml:space="preserve"> </w:t>
      </w:r>
    </w:p>
    <w:p w14:paraId="4CEBCABC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bookmarkEnd w:id="1"/>
    <w:bookmarkEnd w:id="2"/>
    <w:p w14:paraId="6B69AD37" w14:textId="526EFF68" w:rsidR="000D1FBB" w:rsidRDefault="000D1FBB" w:rsidP="00524230"/>
    <w:p w14:paraId="1CCEA7BC" w14:textId="2A30C3BF" w:rsidR="00326F3C" w:rsidRPr="003504FB" w:rsidRDefault="00177625" w:rsidP="00B305F0">
      <w:pPr>
        <w:pStyle w:val="FHWAParagraghHeading"/>
        <w:ind w:left="720"/>
      </w:pPr>
      <w:r>
        <w:t>Community Engagement Outcomes Report</w:t>
      </w:r>
      <w:r w:rsidR="00A16A20">
        <w:rPr>
          <w:color w:val="auto"/>
        </w:rPr>
        <w:t xml:space="preserve"> [</w:t>
      </w:r>
      <w:r w:rsidR="008F1F0A">
        <w:rPr>
          <w:color w:val="auto"/>
        </w:rPr>
        <w:t xml:space="preserve">REQUIRED </w:t>
      </w:r>
      <w:r w:rsidR="00364998">
        <w:rPr>
          <w:color w:val="auto"/>
        </w:rPr>
        <w:t>–</w:t>
      </w:r>
      <w:r w:rsidR="008F1F0A">
        <w:rPr>
          <w:color w:val="auto"/>
        </w:rPr>
        <w:t xml:space="preserve"> </w:t>
      </w:r>
      <w:r w:rsidR="00A16A20">
        <w:rPr>
          <w:color w:val="auto"/>
        </w:rPr>
        <w:t>Updated</w:t>
      </w:r>
      <w:r w:rsidR="00364998">
        <w:rPr>
          <w:color w:val="auto"/>
        </w:rPr>
        <w:t xml:space="preserve"> </w:t>
      </w:r>
      <w:r w:rsidR="00341910" w:rsidRPr="00A5297A">
        <w:rPr>
          <w:color w:val="auto"/>
        </w:rPr>
        <w:t>6</w:t>
      </w:r>
      <w:r w:rsidR="00EE365F" w:rsidRPr="00A5297A">
        <w:rPr>
          <w:color w:val="auto"/>
        </w:rPr>
        <w:t>/</w:t>
      </w:r>
      <w:r w:rsidR="00341910" w:rsidRPr="00A5297A">
        <w:rPr>
          <w:color w:val="auto"/>
        </w:rPr>
        <w:t>11/</w:t>
      </w:r>
      <w:r w:rsidR="00EE365F" w:rsidRPr="00A5297A">
        <w:rPr>
          <w:color w:val="auto"/>
        </w:rPr>
        <w:t>24</w:t>
      </w:r>
      <w:r w:rsidR="00A16A20">
        <w:rPr>
          <w:color w:val="auto"/>
        </w:rPr>
        <w:t>]</w:t>
      </w:r>
      <w:r w:rsidR="00486613" w:rsidRPr="0031107E">
        <w:rPr>
          <w:color w:val="auto"/>
        </w:rPr>
        <w:t xml:space="preserve">  </w:t>
      </w:r>
    </w:p>
    <w:p w14:paraId="3F058B26" w14:textId="2BD235C7" w:rsidR="00326F3C" w:rsidRDefault="00326F3C" w:rsidP="00B305F0">
      <w:pPr>
        <w:pStyle w:val="ListParagraph"/>
        <w:ind w:left="720" w:firstLine="0"/>
        <w:contextualSpacing/>
      </w:pPr>
      <w:r w:rsidRPr="00185B9B">
        <w:t>&lt;</w:t>
      </w:r>
      <w:r w:rsidR="00177625">
        <w:t xml:space="preserve">Per 23 </w:t>
      </w:r>
      <w:r w:rsidR="000018A7">
        <w:t xml:space="preserve">CFR </w:t>
      </w:r>
      <w:r w:rsidR="00177625">
        <w:t>680.112 (d), include a c</w:t>
      </w:r>
      <w:r w:rsidR="00177625" w:rsidRPr="00BA62FA">
        <w:t xml:space="preserve">ommunity engagement outcomes report </w:t>
      </w:r>
      <w:r w:rsidR="00177625">
        <w:t>and include a description of the community engagement activities conducted as part of the development and approval of the most recently-approved Plan, including engagement with disadvantaged communities</w:t>
      </w:r>
      <w:r w:rsidR="00E433F2">
        <w:t>.</w:t>
      </w:r>
      <w:r w:rsidR="0039377A" w:rsidRPr="0039377A">
        <w:t xml:space="preserve"> </w:t>
      </w:r>
      <w:r w:rsidR="00431954">
        <w:t xml:space="preserve">This report may be incorporated into the body of the Plan. This </w:t>
      </w:r>
      <w:r w:rsidR="00437F2B">
        <w:t xml:space="preserve">report </w:t>
      </w:r>
      <w:r w:rsidR="00431954">
        <w:t xml:space="preserve">must address the community engagement activities that have occurred through the development of this fiscal year plan and should also address activities that are planned for the future.  </w:t>
      </w:r>
      <w:r w:rsidRPr="00185B9B">
        <w:t>&gt;</w:t>
      </w:r>
    </w:p>
    <w:p w14:paraId="41F66268" w14:textId="21B70391" w:rsidR="00177625" w:rsidRDefault="00177625" w:rsidP="00B305F0">
      <w:pPr>
        <w:ind w:left="720"/>
      </w:pPr>
    </w:p>
    <w:p w14:paraId="78F14AC3" w14:textId="3727B003" w:rsidR="00177625" w:rsidRDefault="00177625" w:rsidP="00B305F0">
      <w:pPr>
        <w:pStyle w:val="FHWAParagraghHeading"/>
        <w:ind w:left="720"/>
      </w:pPr>
      <w:r>
        <w:t>Tribal Engagement</w:t>
      </w:r>
      <w:r w:rsidR="00463AFF">
        <w:t xml:space="preserve"> </w:t>
      </w:r>
    </w:p>
    <w:p w14:paraId="1ED5386C" w14:textId="77777777" w:rsidR="00E77CFA" w:rsidRPr="00B82049" w:rsidRDefault="00E77CFA" w:rsidP="00A5297A">
      <w:pPr>
        <w:ind w:firstLine="720"/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0D46C9E1" w14:textId="1521238F" w:rsidR="00177625" w:rsidRPr="00185B9B" w:rsidRDefault="00177625" w:rsidP="00B305F0">
      <w:pPr>
        <w:ind w:left="720"/>
      </w:pPr>
    </w:p>
    <w:p w14:paraId="468270C4" w14:textId="5BC6A628" w:rsidR="00961F1C" w:rsidRDefault="00177625" w:rsidP="00B305F0">
      <w:pPr>
        <w:pStyle w:val="FHWAParagraghHeading"/>
        <w:ind w:left="720"/>
      </w:pPr>
      <w:r>
        <w:t>Utility Engagement</w:t>
      </w:r>
      <w:r w:rsidR="009F033F">
        <w:t xml:space="preserve"> </w:t>
      </w:r>
    </w:p>
    <w:p w14:paraId="2AE3AB4F" w14:textId="77777777" w:rsidR="00E77CFA" w:rsidRPr="00B82049" w:rsidRDefault="00E77CFA" w:rsidP="00A5297A">
      <w:pPr>
        <w:ind w:firstLine="720"/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4D8E59A5" w14:textId="0DEC5CB6" w:rsidR="00381F1A" w:rsidRDefault="00381F1A" w:rsidP="00B305F0">
      <w:pPr>
        <w:ind w:left="720"/>
      </w:pPr>
    </w:p>
    <w:p w14:paraId="6E66FA79" w14:textId="7D2155D8" w:rsidR="00381F1A" w:rsidRDefault="00381F1A" w:rsidP="00B305F0">
      <w:pPr>
        <w:pStyle w:val="FHWAParagraghHeading"/>
        <w:ind w:left="720"/>
      </w:pPr>
      <w:r>
        <w:t>Site-Specific Public Engagement</w:t>
      </w:r>
      <w:r w:rsidR="009F033F">
        <w:t xml:space="preserve"> </w:t>
      </w:r>
    </w:p>
    <w:p w14:paraId="3B196BC8" w14:textId="77777777" w:rsidR="00E77CFA" w:rsidRPr="00B82049" w:rsidRDefault="00E77CFA" w:rsidP="00A5297A">
      <w:pPr>
        <w:ind w:firstLine="720"/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1E4AAE86" w14:textId="3D86580F" w:rsidR="00CA1967" w:rsidRPr="00F80572" w:rsidRDefault="00CA1967" w:rsidP="00CA1967">
      <w:pPr>
        <w:ind w:left="720"/>
        <w:rPr>
          <w:i/>
          <w:iCs/>
        </w:rPr>
      </w:pPr>
    </w:p>
    <w:p w14:paraId="24C979F3" w14:textId="1B01362F" w:rsidR="004D1AD8" w:rsidRDefault="004D1AD8" w:rsidP="00524230"/>
    <w:p w14:paraId="2B6066F6" w14:textId="66F7EABC" w:rsidR="00107C73" w:rsidRPr="003504FB" w:rsidRDefault="00107C73" w:rsidP="00BD76FC">
      <w:pPr>
        <w:pStyle w:val="FHWASubtitle"/>
      </w:pPr>
      <w:bookmarkStart w:id="3" w:name="_Toc90022567"/>
      <w:r w:rsidRPr="003504FB">
        <w:t xml:space="preserve">Plan Vision </w:t>
      </w:r>
      <w:r w:rsidR="001F23B8">
        <w:t>and</w:t>
      </w:r>
      <w:r w:rsidR="001F23B8" w:rsidRPr="003504FB">
        <w:t xml:space="preserve"> </w:t>
      </w:r>
      <w:r w:rsidRPr="003504FB">
        <w:t>Goals</w:t>
      </w:r>
      <w:bookmarkEnd w:id="3"/>
      <w:r w:rsidRPr="003504FB">
        <w:t xml:space="preserve"> </w:t>
      </w:r>
    </w:p>
    <w:p w14:paraId="109D1871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30C565E7" w14:textId="4FF528CE" w:rsidR="004D1AD8" w:rsidRDefault="004D1AD8" w:rsidP="00524230">
      <w:pPr>
        <w:rPr>
          <w:color w:val="FF0000"/>
        </w:rPr>
      </w:pPr>
    </w:p>
    <w:p w14:paraId="50B357A3" w14:textId="06B1550C" w:rsidR="00622224" w:rsidRPr="00622224" w:rsidRDefault="00622224" w:rsidP="00622224">
      <w:pPr>
        <w:pStyle w:val="FHWASubtitle"/>
      </w:pPr>
      <w:r w:rsidRPr="003504FB">
        <w:lastRenderedPageBreak/>
        <w:t xml:space="preserve">Contracting </w:t>
      </w:r>
      <w:r w:rsidRPr="00622224">
        <w:t xml:space="preserve"> </w:t>
      </w:r>
      <w:r w:rsidR="00400755" w:rsidRPr="0031107E">
        <w:rPr>
          <w:color w:val="auto"/>
        </w:rPr>
        <w:t xml:space="preserve">  </w:t>
      </w:r>
    </w:p>
    <w:p w14:paraId="0EDDD16E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50D777AC" w14:textId="2DF147A5" w:rsidR="00A23BB9" w:rsidRDefault="00A23BB9" w:rsidP="00524230">
      <w:pPr>
        <w:rPr>
          <w:color w:val="FF0000"/>
        </w:rPr>
      </w:pPr>
    </w:p>
    <w:p w14:paraId="759E2B50" w14:textId="48A7ADE9" w:rsidR="0030360D" w:rsidRDefault="0030360D" w:rsidP="00B305F0">
      <w:pPr>
        <w:pStyle w:val="FHWAParagraghHeading"/>
        <w:ind w:left="720"/>
      </w:pPr>
      <w:r>
        <w:t xml:space="preserve">Status of Contracting Process </w:t>
      </w:r>
      <w:r w:rsidRPr="00186708">
        <w:rPr>
          <w:color w:val="auto"/>
        </w:rPr>
        <w:t>[</w:t>
      </w:r>
      <w:r w:rsidR="0061236D">
        <w:rPr>
          <w:color w:val="auto"/>
        </w:rPr>
        <w:t>REQUIRED</w:t>
      </w:r>
      <w:r w:rsidR="00DB750B">
        <w:rPr>
          <w:color w:val="auto"/>
        </w:rPr>
        <w:t xml:space="preserve">– Updated </w:t>
      </w:r>
      <w:r w:rsidR="00341910">
        <w:rPr>
          <w:color w:val="auto"/>
        </w:rPr>
        <w:t>6</w:t>
      </w:r>
      <w:r w:rsidR="00DB750B" w:rsidRPr="00AD066C">
        <w:rPr>
          <w:color w:val="auto"/>
        </w:rPr>
        <w:t>/</w:t>
      </w:r>
      <w:r w:rsidR="00341910">
        <w:rPr>
          <w:color w:val="auto"/>
        </w:rPr>
        <w:t>11</w:t>
      </w:r>
      <w:r w:rsidR="00DB750B" w:rsidRPr="00AD066C">
        <w:rPr>
          <w:color w:val="auto"/>
        </w:rPr>
        <w:t>/24</w:t>
      </w:r>
      <w:r w:rsidRPr="00186708">
        <w:rPr>
          <w:color w:val="auto"/>
        </w:rPr>
        <w:t>]</w:t>
      </w:r>
    </w:p>
    <w:p w14:paraId="61B6E5A1" w14:textId="54F4A506" w:rsidR="0030360D" w:rsidRDefault="0030360D" w:rsidP="00B305F0">
      <w:pPr>
        <w:ind w:left="720"/>
      </w:pPr>
      <w:r>
        <w:t>&lt;</w:t>
      </w:r>
      <w:r w:rsidRPr="0030360D">
        <w:t xml:space="preserve"> </w:t>
      </w:r>
      <w:r w:rsidR="004D5F1A">
        <w:t xml:space="preserve">Through the table below, include information about </w:t>
      </w:r>
      <w:r w:rsidR="009D0240">
        <w:t xml:space="preserve">existing and upcoming </w:t>
      </w:r>
      <w:r>
        <w:t xml:space="preserve">State Request for Proposals (RFPs), Request for Qualifications (RFQs), or </w:t>
      </w:r>
      <w:r w:rsidR="005A11FF">
        <w:t>Contract Awards</w:t>
      </w:r>
      <w:r>
        <w:t xml:space="preserve">.&gt;  </w:t>
      </w:r>
    </w:p>
    <w:p w14:paraId="0AED83A2" w14:textId="01251A6F" w:rsidR="0030360D" w:rsidRDefault="0030360D" w:rsidP="00B305F0">
      <w:pPr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1747"/>
        <w:gridCol w:w="2327"/>
        <w:gridCol w:w="1231"/>
        <w:gridCol w:w="1386"/>
        <w:gridCol w:w="912"/>
      </w:tblGrid>
      <w:tr w:rsidR="0074663F" w14:paraId="263F7CD8" w14:textId="77777777" w:rsidTr="00A4251C">
        <w:trPr>
          <w:trHeight w:val="300"/>
          <w:jc w:val="center"/>
        </w:trPr>
        <w:tc>
          <w:tcPr>
            <w:tcW w:w="0" w:type="auto"/>
          </w:tcPr>
          <w:p w14:paraId="729746A7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Round of Contracting (example: 1</w:t>
            </w:r>
            <w:r w:rsidRPr="10D97AF5">
              <w:rPr>
                <w:vertAlign w:val="superscript"/>
              </w:rPr>
              <w:t>st</w:t>
            </w:r>
            <w:r>
              <w:t xml:space="preserve"> Round of Three)</w:t>
            </w:r>
          </w:p>
        </w:tc>
        <w:tc>
          <w:tcPr>
            <w:tcW w:w="0" w:type="auto"/>
          </w:tcPr>
          <w:p w14:paraId="307E78EB" w14:textId="77777777" w:rsidR="0074663F" w:rsidRDefault="0074663F" w:rsidP="006B1259">
            <w:pPr>
              <w:jc w:val="center"/>
            </w:pPr>
            <w:r>
              <w:t xml:space="preserve">Number of Proposals or Applications received </w:t>
            </w:r>
          </w:p>
        </w:tc>
        <w:tc>
          <w:tcPr>
            <w:tcW w:w="2327" w:type="dxa"/>
          </w:tcPr>
          <w:p w14:paraId="7EF199C5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Contract Type</w:t>
            </w:r>
          </w:p>
          <w:p w14:paraId="15A528EF" w14:textId="636EEB03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(</w:t>
            </w:r>
            <w:r>
              <w:rPr>
                <w:rStyle w:val="normaltextrun"/>
                <w:color w:val="000000"/>
                <w:shd w:val="clear" w:color="auto" w:fill="FFFFFF"/>
              </w:rPr>
              <w:t>design-build-operate-maintain, design-build, or others)</w:t>
            </w:r>
            <w:r>
              <w:t xml:space="preserve"> </w:t>
            </w:r>
          </w:p>
        </w:tc>
        <w:tc>
          <w:tcPr>
            <w:tcW w:w="1085" w:type="dxa"/>
          </w:tcPr>
          <w:p w14:paraId="7C2010CB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Date Solicitation Released</w:t>
            </w:r>
          </w:p>
        </w:tc>
        <w:tc>
          <w:tcPr>
            <w:tcW w:w="0" w:type="auto"/>
          </w:tcPr>
          <w:p w14:paraId="75312FE2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Date Solicitation Closed</w:t>
            </w:r>
          </w:p>
        </w:tc>
        <w:tc>
          <w:tcPr>
            <w:tcW w:w="0" w:type="auto"/>
          </w:tcPr>
          <w:p w14:paraId="7B06DFEB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Date of Award</w:t>
            </w:r>
          </w:p>
        </w:tc>
      </w:tr>
      <w:tr w:rsidR="00DB750B" w14:paraId="610CD288" w14:textId="77777777" w:rsidTr="00A4251C">
        <w:trPr>
          <w:trHeight w:val="300"/>
          <w:jc w:val="center"/>
        </w:trPr>
        <w:tc>
          <w:tcPr>
            <w:tcW w:w="0" w:type="auto"/>
          </w:tcPr>
          <w:p w14:paraId="51956967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0" w:type="auto"/>
          </w:tcPr>
          <w:p w14:paraId="6BF983C2" w14:textId="77777777" w:rsidR="00DB750B" w:rsidRDefault="00DB750B" w:rsidP="006B1259">
            <w:pPr>
              <w:jc w:val="center"/>
            </w:pPr>
          </w:p>
        </w:tc>
        <w:tc>
          <w:tcPr>
            <w:tcW w:w="2327" w:type="dxa"/>
          </w:tcPr>
          <w:p w14:paraId="5E40A688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1085" w:type="dxa"/>
          </w:tcPr>
          <w:p w14:paraId="71418F63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0" w:type="auto"/>
          </w:tcPr>
          <w:p w14:paraId="7B26BCF3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0" w:type="auto"/>
          </w:tcPr>
          <w:p w14:paraId="182BBD60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</w:tr>
    </w:tbl>
    <w:p w14:paraId="0773C435" w14:textId="77777777" w:rsidR="00C264B8" w:rsidRDefault="00C264B8" w:rsidP="00B305F0">
      <w:pPr>
        <w:ind w:left="720"/>
      </w:pPr>
    </w:p>
    <w:p w14:paraId="2F3180D5" w14:textId="77777777" w:rsidR="00C264B8" w:rsidRDefault="00C264B8" w:rsidP="00B305F0">
      <w:pPr>
        <w:ind w:left="720"/>
      </w:pPr>
    </w:p>
    <w:p w14:paraId="633C7D9C" w14:textId="674A74C9" w:rsidR="0030360D" w:rsidRDefault="0030360D" w:rsidP="00B305F0">
      <w:pPr>
        <w:pStyle w:val="FHWAParagraghHeading"/>
        <w:ind w:left="720"/>
      </w:pPr>
      <w:r>
        <w:t xml:space="preserve">Awarded Contracts </w:t>
      </w:r>
      <w:r w:rsidRPr="00186708">
        <w:rPr>
          <w:color w:val="auto"/>
        </w:rPr>
        <w:t>[</w:t>
      </w:r>
      <w:r w:rsidR="0061236D">
        <w:rPr>
          <w:color w:val="auto"/>
        </w:rPr>
        <w:t>REQUIRED</w:t>
      </w:r>
      <w:r w:rsidR="00DB750B">
        <w:rPr>
          <w:color w:val="auto"/>
        </w:rPr>
        <w:t xml:space="preserve">– Updated </w:t>
      </w:r>
      <w:r w:rsidR="00341910">
        <w:rPr>
          <w:color w:val="auto"/>
        </w:rPr>
        <w:t>6</w:t>
      </w:r>
      <w:r w:rsidR="00DB750B" w:rsidRPr="00AD066C">
        <w:rPr>
          <w:color w:val="auto"/>
        </w:rPr>
        <w:t>/</w:t>
      </w:r>
      <w:r w:rsidR="00341910">
        <w:rPr>
          <w:color w:val="auto"/>
        </w:rPr>
        <w:t>11</w:t>
      </w:r>
      <w:r w:rsidR="00DB750B" w:rsidRPr="00AD066C">
        <w:rPr>
          <w:color w:val="auto"/>
        </w:rPr>
        <w:t>/24</w:t>
      </w:r>
      <w:r w:rsidRPr="00186708">
        <w:rPr>
          <w:color w:val="auto"/>
        </w:rPr>
        <w:t>]</w:t>
      </w:r>
    </w:p>
    <w:p w14:paraId="49F30B1F" w14:textId="40DE6D0F" w:rsidR="0030360D" w:rsidRDefault="0030360D" w:rsidP="00B305F0">
      <w:pPr>
        <w:ind w:left="720"/>
        <w:contextualSpacing/>
      </w:pPr>
      <w:r>
        <w:t>&lt;</w:t>
      </w:r>
      <w:r w:rsidRPr="0030360D">
        <w:t xml:space="preserve"> </w:t>
      </w:r>
      <w:r w:rsidR="004D5F1A">
        <w:t xml:space="preserve">Through the table below, include information about </w:t>
      </w:r>
      <w:r w:rsidR="00621C0F">
        <w:t xml:space="preserve">the status of </w:t>
      </w:r>
      <w:r>
        <w:t>contracts awarded</w:t>
      </w:r>
      <w:r w:rsidR="001C14C0">
        <w:t>.</w:t>
      </w:r>
      <w:r>
        <w:t>&gt;</w:t>
      </w:r>
    </w:p>
    <w:p w14:paraId="5210B71E" w14:textId="7CEE767C" w:rsidR="0030360D" w:rsidRDefault="0030360D" w:rsidP="00B305F0">
      <w:pPr>
        <w:ind w:left="720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1080"/>
        <w:gridCol w:w="2340"/>
        <w:gridCol w:w="1440"/>
        <w:gridCol w:w="990"/>
        <w:gridCol w:w="1185"/>
      </w:tblGrid>
      <w:tr w:rsidR="0074663F" w14:paraId="5F15B659" w14:textId="77777777" w:rsidTr="00A4251C">
        <w:trPr>
          <w:trHeight w:val="300"/>
          <w:jc w:val="center"/>
        </w:trPr>
        <w:tc>
          <w:tcPr>
            <w:tcW w:w="2155" w:type="dxa"/>
          </w:tcPr>
          <w:p w14:paraId="20FAEAC4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Round of Contracting (example: 1</w:t>
            </w:r>
            <w:r w:rsidRPr="10D97AF5">
              <w:rPr>
                <w:vertAlign w:val="superscript"/>
              </w:rPr>
              <w:t>st</w:t>
            </w:r>
            <w:r>
              <w:t xml:space="preserve"> Round of Three)</w:t>
            </w:r>
          </w:p>
        </w:tc>
        <w:tc>
          <w:tcPr>
            <w:tcW w:w="1080" w:type="dxa"/>
          </w:tcPr>
          <w:p w14:paraId="550D1919" w14:textId="71AD80DB" w:rsidR="0074663F" w:rsidRDefault="0074663F" w:rsidP="006B1259">
            <w:pPr>
              <w:jc w:val="center"/>
            </w:pPr>
            <w:r>
              <w:t xml:space="preserve">Award Recipient </w:t>
            </w:r>
          </w:p>
        </w:tc>
        <w:tc>
          <w:tcPr>
            <w:tcW w:w="2340" w:type="dxa"/>
          </w:tcPr>
          <w:p w14:paraId="7288C140" w14:textId="7777777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Contract Type</w:t>
            </w:r>
          </w:p>
          <w:p w14:paraId="036AA70B" w14:textId="16B2FCFD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(</w:t>
            </w:r>
            <w:r>
              <w:rPr>
                <w:rStyle w:val="normaltextrun"/>
                <w:color w:val="000000"/>
                <w:shd w:val="clear" w:color="auto" w:fill="FFFFFF"/>
              </w:rPr>
              <w:t>design-build-operate-maintain, design-build, or others)</w:t>
            </w:r>
            <w:r>
              <w:t xml:space="preserve"> </w:t>
            </w:r>
          </w:p>
        </w:tc>
        <w:tc>
          <w:tcPr>
            <w:tcW w:w="1440" w:type="dxa"/>
          </w:tcPr>
          <w:p w14:paraId="2D970EF7" w14:textId="7FECE107" w:rsidR="0074663F" w:rsidRDefault="0074663F" w:rsidP="006B1259">
            <w:pPr>
              <w:tabs>
                <w:tab w:val="left" w:pos="5760"/>
              </w:tabs>
              <w:jc w:val="center"/>
            </w:pPr>
            <w:r>
              <w:t xml:space="preserve">Location of Charging Station </w:t>
            </w:r>
          </w:p>
        </w:tc>
        <w:tc>
          <w:tcPr>
            <w:tcW w:w="990" w:type="dxa"/>
          </w:tcPr>
          <w:p w14:paraId="1725D587" w14:textId="0A4134D5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Award Amount</w:t>
            </w:r>
          </w:p>
        </w:tc>
        <w:tc>
          <w:tcPr>
            <w:tcW w:w="1185" w:type="dxa"/>
          </w:tcPr>
          <w:p w14:paraId="217D4D93" w14:textId="01B386CE" w:rsidR="0074663F" w:rsidRDefault="0074663F" w:rsidP="006B1259">
            <w:pPr>
              <w:tabs>
                <w:tab w:val="left" w:pos="5760"/>
              </w:tabs>
              <w:jc w:val="center"/>
            </w:pPr>
            <w:r>
              <w:t>Estimated Date of Operation</w:t>
            </w:r>
          </w:p>
        </w:tc>
      </w:tr>
      <w:tr w:rsidR="00DB750B" w14:paraId="1C0E1A98" w14:textId="77777777" w:rsidTr="00A4251C">
        <w:trPr>
          <w:trHeight w:val="300"/>
          <w:jc w:val="center"/>
        </w:trPr>
        <w:tc>
          <w:tcPr>
            <w:tcW w:w="2155" w:type="dxa"/>
          </w:tcPr>
          <w:p w14:paraId="1EE60BFE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1080" w:type="dxa"/>
          </w:tcPr>
          <w:p w14:paraId="7A66D807" w14:textId="77777777" w:rsidR="00DB750B" w:rsidRDefault="00DB750B" w:rsidP="006B1259">
            <w:pPr>
              <w:jc w:val="center"/>
            </w:pPr>
          </w:p>
        </w:tc>
        <w:tc>
          <w:tcPr>
            <w:tcW w:w="2340" w:type="dxa"/>
          </w:tcPr>
          <w:p w14:paraId="567A6CB1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1440" w:type="dxa"/>
          </w:tcPr>
          <w:p w14:paraId="31A8AEB9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990" w:type="dxa"/>
          </w:tcPr>
          <w:p w14:paraId="2F43C2AE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  <w:tc>
          <w:tcPr>
            <w:tcW w:w="1185" w:type="dxa"/>
          </w:tcPr>
          <w:p w14:paraId="55904E06" w14:textId="77777777" w:rsidR="00DB750B" w:rsidRDefault="00DB750B" w:rsidP="006B1259">
            <w:pPr>
              <w:tabs>
                <w:tab w:val="left" w:pos="5760"/>
              </w:tabs>
              <w:jc w:val="center"/>
            </w:pPr>
          </w:p>
        </w:tc>
      </w:tr>
    </w:tbl>
    <w:p w14:paraId="63447D36" w14:textId="77777777" w:rsidR="00C264B8" w:rsidRDefault="00C264B8" w:rsidP="00B305F0">
      <w:pPr>
        <w:ind w:left="720"/>
      </w:pPr>
    </w:p>
    <w:p w14:paraId="040609D5" w14:textId="04A63E2A" w:rsidR="0030360D" w:rsidRDefault="0030360D" w:rsidP="00B305F0">
      <w:pPr>
        <w:pStyle w:val="FHWAParagraghHeading"/>
        <w:ind w:left="720"/>
      </w:pPr>
      <w:r>
        <w:t xml:space="preserve">Scoring Methodologies </w:t>
      </w:r>
      <w:r w:rsidR="007D0DA2">
        <w:t xml:space="preserve">Utilized </w:t>
      </w:r>
      <w:r w:rsidRPr="00186708">
        <w:rPr>
          <w:color w:val="auto"/>
        </w:rPr>
        <w:t>[</w:t>
      </w:r>
      <w:r w:rsidR="0061236D">
        <w:rPr>
          <w:color w:val="auto"/>
        </w:rPr>
        <w:t>REQUIRED</w:t>
      </w:r>
      <w:r w:rsidR="008F1F0A">
        <w:rPr>
          <w:color w:val="auto"/>
        </w:rPr>
        <w:t xml:space="preserve"> - Updated </w:t>
      </w:r>
      <w:r w:rsidR="00341910">
        <w:rPr>
          <w:color w:val="auto"/>
        </w:rPr>
        <w:t>6</w:t>
      </w:r>
      <w:r w:rsidR="00364998" w:rsidRPr="00AD066C">
        <w:rPr>
          <w:color w:val="auto"/>
        </w:rPr>
        <w:t>/</w:t>
      </w:r>
      <w:r w:rsidR="003419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Pr="00186708">
        <w:rPr>
          <w:color w:val="auto"/>
        </w:rPr>
        <w:t>]</w:t>
      </w:r>
    </w:p>
    <w:p w14:paraId="43C24374" w14:textId="27AF9E90" w:rsidR="0030360D" w:rsidRDefault="0030360D" w:rsidP="00B305F0">
      <w:pPr>
        <w:ind w:left="720"/>
        <w:contextualSpacing/>
      </w:pPr>
      <w:r>
        <w:t>&lt;</w:t>
      </w:r>
      <w:r w:rsidRPr="0030360D">
        <w:t xml:space="preserve"> </w:t>
      </w:r>
      <w:r>
        <w:t xml:space="preserve">Identify </w:t>
      </w:r>
      <w:r w:rsidR="00103C05">
        <w:t xml:space="preserve">the </w:t>
      </w:r>
      <w:r>
        <w:t xml:space="preserve">scoring methodology used to evaluate </w:t>
      </w:r>
      <w:r w:rsidR="00103C05">
        <w:t xml:space="preserve">NEVI Formula Program </w:t>
      </w:r>
      <w:r>
        <w:t>contracts .</w:t>
      </w:r>
      <w:r w:rsidR="00AA347C">
        <w:t xml:space="preserve"> </w:t>
      </w:r>
      <w:r w:rsidR="00720153">
        <w:t>P</w:t>
      </w:r>
      <w:r w:rsidR="00AA347C">
        <w:t xml:space="preserve">rovide detail about </w:t>
      </w:r>
      <w:r w:rsidR="00103C05">
        <w:t>this</w:t>
      </w:r>
      <w:r w:rsidR="00AA347C">
        <w:t xml:space="preserve"> scoring methodology</w:t>
      </w:r>
      <w:r w:rsidR="00720153">
        <w:t xml:space="preserve">, particularly </w:t>
      </w:r>
      <w:r w:rsidR="00350B1E">
        <w:t>identifying scoring</w:t>
      </w:r>
      <w:r w:rsidR="00AA347C">
        <w:t xml:space="preserve"> </w:t>
      </w:r>
      <w:r w:rsidR="00D46E26">
        <w:t xml:space="preserve">used to evaluate </w:t>
      </w:r>
      <w:r w:rsidR="00AA347C">
        <w:t xml:space="preserve">equity and Justice 40. </w:t>
      </w:r>
      <w:r>
        <w:t>&gt;</w:t>
      </w:r>
    </w:p>
    <w:p w14:paraId="39695F4E" w14:textId="2F9BC572" w:rsidR="0030360D" w:rsidRDefault="0030360D" w:rsidP="00186708"/>
    <w:p w14:paraId="7E528FF7" w14:textId="02D27587" w:rsidR="0030360D" w:rsidRDefault="00AB1758" w:rsidP="00B305F0">
      <w:pPr>
        <w:pStyle w:val="FHWAParagraghHeading"/>
        <w:ind w:left="720"/>
      </w:pPr>
      <w:r>
        <w:t xml:space="preserve">Plan for </w:t>
      </w:r>
      <w:r w:rsidR="0030360D">
        <w:t xml:space="preserve">Compliance with Federal Requirements </w:t>
      </w:r>
      <w:r w:rsidR="0030360D" w:rsidRPr="00B44681">
        <w:rPr>
          <w:color w:val="auto"/>
        </w:rPr>
        <w:t>[</w:t>
      </w:r>
      <w:r w:rsidR="0061236D">
        <w:rPr>
          <w:color w:val="auto"/>
        </w:rPr>
        <w:t>REQUIRED</w:t>
      </w:r>
      <w:r w:rsidR="0030360D" w:rsidRPr="00B44681">
        <w:rPr>
          <w:color w:val="auto"/>
        </w:rPr>
        <w:t>]</w:t>
      </w:r>
    </w:p>
    <w:p w14:paraId="03BD3EEA" w14:textId="4F4F0227" w:rsidR="0030360D" w:rsidRDefault="0030360D" w:rsidP="00B305F0">
      <w:pPr>
        <w:ind w:left="720"/>
        <w:rPr>
          <w:rFonts w:eastAsia="Trebuchet MS"/>
        </w:rPr>
      </w:pPr>
      <w:r>
        <w:rPr>
          <w:rFonts w:eastAsia="Trebuchet MS"/>
        </w:rPr>
        <w:t xml:space="preserve">&lt;Identify how State is </w:t>
      </w:r>
      <w:r w:rsidRPr="0030360D">
        <w:rPr>
          <w:rFonts w:eastAsia="Trebuchet MS"/>
        </w:rPr>
        <w:t>ensuring</w:t>
      </w:r>
      <w:r>
        <w:rPr>
          <w:rFonts w:eastAsia="Trebuchet MS"/>
        </w:rPr>
        <w:t xml:space="preserve"> contractors</w:t>
      </w:r>
      <w:r w:rsidRPr="0030360D">
        <w:rPr>
          <w:rFonts w:eastAsia="Trebuchet MS"/>
        </w:rPr>
        <w:t xml:space="preserve"> compl</w:t>
      </w:r>
      <w:r>
        <w:rPr>
          <w:rFonts w:eastAsia="Trebuchet MS"/>
        </w:rPr>
        <w:t>y</w:t>
      </w:r>
      <w:r w:rsidRPr="0030360D">
        <w:rPr>
          <w:rFonts w:eastAsia="Trebuchet MS"/>
        </w:rPr>
        <w:t xml:space="preserve"> with 23 U.S.C.</w:t>
      </w:r>
      <w:r w:rsidR="009D0240">
        <w:rPr>
          <w:rFonts w:eastAsia="Trebuchet MS"/>
        </w:rPr>
        <w:t>, 23 CFR 680,</w:t>
      </w:r>
      <w:r w:rsidRPr="0030360D">
        <w:rPr>
          <w:rFonts w:eastAsia="Trebuchet MS"/>
        </w:rPr>
        <w:t xml:space="preserve"> and all applicable requirements under 2 CFR 200.</w:t>
      </w:r>
      <w:r>
        <w:rPr>
          <w:rFonts w:eastAsia="Trebuchet MS"/>
        </w:rPr>
        <w:t>&gt;</w:t>
      </w:r>
    </w:p>
    <w:p w14:paraId="08D9C9B3" w14:textId="261B8091" w:rsidR="006C46AF" w:rsidRDefault="006C46AF" w:rsidP="00B305F0">
      <w:pPr>
        <w:ind w:left="720"/>
        <w:rPr>
          <w:rFonts w:eastAsia="Trebuchet MS"/>
        </w:rPr>
      </w:pPr>
    </w:p>
    <w:p w14:paraId="4CDCB46E" w14:textId="6A1E8437" w:rsidR="00327078" w:rsidRPr="00E77BBB" w:rsidRDefault="00327078" w:rsidP="00327078">
      <w:pPr>
        <w:pStyle w:val="FHWASubtitle"/>
      </w:pPr>
      <w:r w:rsidRPr="00E77BBB">
        <w:t>Civil Rights</w:t>
      </w:r>
      <w:r>
        <w:t xml:space="preserve"> </w:t>
      </w:r>
    </w:p>
    <w:p w14:paraId="5078D47B" w14:textId="77777777" w:rsidR="007D2D78" w:rsidRPr="00B82049" w:rsidRDefault="007D2D78" w:rsidP="007D2D78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67B9767E" w14:textId="6283B85D" w:rsidR="004D1AD8" w:rsidRDefault="004D1AD8" w:rsidP="00BD76FC"/>
    <w:p w14:paraId="0BFED72F" w14:textId="048A8BEE" w:rsidR="00107C73" w:rsidRPr="00B44681" w:rsidRDefault="00107C73" w:rsidP="00BD76FC">
      <w:pPr>
        <w:pStyle w:val="FHWASubtitle"/>
        <w:rPr>
          <w:sz w:val="24"/>
          <w:szCs w:val="24"/>
        </w:rPr>
      </w:pPr>
      <w:bookmarkStart w:id="4" w:name="_Toc90022571"/>
      <w:r w:rsidRPr="003504FB">
        <w:rPr>
          <w:rStyle w:val="Heading3Char"/>
          <w:rFonts w:ascii="Arial" w:hAnsi="Arial" w:cs="Arial"/>
          <w:color w:val="385623" w:themeColor="accent6" w:themeShade="80"/>
          <w:sz w:val="34"/>
          <w:szCs w:val="34"/>
        </w:rPr>
        <w:t xml:space="preserve">Existing </w:t>
      </w:r>
      <w:r w:rsidR="00326F3C" w:rsidRPr="003504FB">
        <w:rPr>
          <w:rStyle w:val="Heading3Char"/>
          <w:rFonts w:ascii="Arial" w:hAnsi="Arial" w:cs="Arial"/>
          <w:color w:val="385623" w:themeColor="accent6" w:themeShade="80"/>
          <w:sz w:val="34"/>
          <w:szCs w:val="34"/>
        </w:rPr>
        <w:t xml:space="preserve">and Future </w:t>
      </w:r>
      <w:r w:rsidRPr="003504FB">
        <w:rPr>
          <w:rStyle w:val="Heading3Char"/>
          <w:rFonts w:ascii="Arial" w:hAnsi="Arial" w:cs="Arial"/>
          <w:color w:val="385623" w:themeColor="accent6" w:themeShade="80"/>
          <w:sz w:val="34"/>
          <w:szCs w:val="34"/>
        </w:rPr>
        <w:t>Conditions Analysis</w:t>
      </w:r>
      <w:bookmarkEnd w:id="4"/>
      <w:r w:rsidR="003A424E" w:rsidRPr="00B44681">
        <w:rPr>
          <w:color w:val="auto"/>
        </w:rPr>
        <w:t xml:space="preserve">  </w:t>
      </w:r>
    </w:p>
    <w:p w14:paraId="36A38FFA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6FAB4126" w14:textId="77777777" w:rsidR="00A23BB9" w:rsidRDefault="00A23BB9" w:rsidP="00BD76FC"/>
    <w:p w14:paraId="3C199E37" w14:textId="6289024E" w:rsidR="009B3C89" w:rsidRPr="003504FB" w:rsidRDefault="001D6760" w:rsidP="00B305F0">
      <w:pPr>
        <w:pStyle w:val="FHWAParagraghHeading"/>
        <w:ind w:left="720"/>
      </w:pPr>
      <w:bookmarkStart w:id="5" w:name="_Toc90022574"/>
      <w:r>
        <w:t>Alternative Fuel Corridor (</w:t>
      </w:r>
      <w:r w:rsidR="00C7252B" w:rsidRPr="003504FB">
        <w:t>A</w:t>
      </w:r>
      <w:r w:rsidR="00457C19" w:rsidRPr="003504FB">
        <w:t>FC</w:t>
      </w:r>
      <w:r>
        <w:t>)</w:t>
      </w:r>
      <w:r w:rsidR="009B3C89" w:rsidRPr="003504FB">
        <w:t xml:space="preserve"> </w:t>
      </w:r>
      <w:r w:rsidR="005F64CC">
        <w:t>Designations</w:t>
      </w:r>
      <w:r w:rsidR="009B3C89" w:rsidRPr="003504FB">
        <w:t xml:space="preserve"> </w:t>
      </w:r>
      <w:bookmarkEnd w:id="5"/>
    </w:p>
    <w:p w14:paraId="2E2B919F" w14:textId="77777777" w:rsidR="00E77CFA" w:rsidRPr="00B82049" w:rsidRDefault="00E77CFA" w:rsidP="00A5297A">
      <w:pPr>
        <w:ind w:firstLine="720"/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3DD76F49" w14:textId="7F19FF61" w:rsidR="009B3C89" w:rsidRPr="00185B9B" w:rsidRDefault="009B3C89" w:rsidP="00B305F0">
      <w:pPr>
        <w:ind w:left="720"/>
      </w:pPr>
    </w:p>
    <w:p w14:paraId="326F1E73" w14:textId="0F788A71" w:rsidR="004C5F27" w:rsidRPr="003504FB" w:rsidRDefault="004C5F27" w:rsidP="004C5F27">
      <w:pPr>
        <w:pStyle w:val="FHWAParagraghHeading"/>
        <w:ind w:left="720"/>
      </w:pPr>
      <w:r>
        <w:t>Existing Charging Stations</w:t>
      </w:r>
      <w:r w:rsidRPr="003504FB">
        <w:t xml:space="preserve"> </w:t>
      </w:r>
      <w:r w:rsidRPr="00B44681">
        <w:rPr>
          <w:color w:val="auto"/>
        </w:rPr>
        <w:t>[</w:t>
      </w:r>
      <w:r>
        <w:rPr>
          <w:color w:val="auto"/>
        </w:rPr>
        <w:t xml:space="preserve">REQUIRED </w:t>
      </w:r>
      <w:r w:rsidR="00D61E5C">
        <w:rPr>
          <w:color w:val="auto"/>
        </w:rPr>
        <w:t>–</w:t>
      </w:r>
      <w:r>
        <w:rPr>
          <w:color w:val="auto"/>
        </w:rPr>
        <w:t xml:space="preserve"> Updated</w:t>
      </w:r>
      <w:r w:rsidR="00D61E5C">
        <w:rPr>
          <w:color w:val="auto"/>
        </w:rPr>
        <w:t xml:space="preserve"> </w:t>
      </w:r>
      <w:r w:rsidR="00341910">
        <w:rPr>
          <w:color w:val="auto"/>
        </w:rPr>
        <w:t>6</w:t>
      </w:r>
      <w:r w:rsidR="00364998" w:rsidRPr="00AD066C">
        <w:rPr>
          <w:color w:val="auto"/>
        </w:rPr>
        <w:t>/</w:t>
      </w:r>
      <w:r w:rsidR="003419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Pr="00B44681">
        <w:rPr>
          <w:color w:val="auto"/>
        </w:rPr>
        <w:t>]</w:t>
      </w:r>
    </w:p>
    <w:p w14:paraId="5A4A172E" w14:textId="0BC47B56" w:rsidR="00FA5D23" w:rsidRDefault="00FA5D23" w:rsidP="00B305F0">
      <w:pPr>
        <w:ind w:left="720"/>
      </w:pPr>
      <w:bookmarkStart w:id="6" w:name="_Toc89879087"/>
      <w:r>
        <w:t>&lt;</w:t>
      </w:r>
      <w:r w:rsidR="00437F2B">
        <w:t xml:space="preserve">Through the table </w:t>
      </w:r>
      <w:r w:rsidR="00DF60EF">
        <w:t>following</w:t>
      </w:r>
      <w:r w:rsidR="00437F2B">
        <w:t>, i</w:t>
      </w:r>
      <w:r>
        <w:t>nclude</w:t>
      </w:r>
      <w:r w:rsidR="009B3C89">
        <w:t xml:space="preserve"> </w:t>
      </w:r>
      <w:r w:rsidR="00437F2B">
        <w:t>information about</w:t>
      </w:r>
      <w:r w:rsidR="005F64CC">
        <w:t xml:space="preserve"> existing locations of </w:t>
      </w:r>
      <w:r w:rsidR="6A4BABD2">
        <w:t xml:space="preserve">DCFC </w:t>
      </w:r>
      <w:r w:rsidR="005F64CC">
        <w:t>charging infrastructure along designated AFCs</w:t>
      </w:r>
      <w:r w:rsidR="00E433F2">
        <w:t>.</w:t>
      </w:r>
      <w:r>
        <w:t>&gt;</w:t>
      </w:r>
    </w:p>
    <w:p w14:paraId="5C1CB4F8" w14:textId="561D9AA0" w:rsidR="003D3325" w:rsidRDefault="00E31969" w:rsidP="00B305F0">
      <w:pPr>
        <w:ind w:left="720"/>
      </w:pPr>
      <w:r>
        <w:t>Include an “as of” date that the table is populated.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49"/>
        <w:gridCol w:w="742"/>
        <w:gridCol w:w="1331"/>
        <w:gridCol w:w="1035"/>
        <w:gridCol w:w="986"/>
        <w:gridCol w:w="1581"/>
        <w:gridCol w:w="2336"/>
      </w:tblGrid>
      <w:tr w:rsidR="00261A28" w14:paraId="26A2EC68" w14:textId="696D7992" w:rsidTr="00261A28">
        <w:trPr>
          <w:cantSplit/>
          <w:trHeight w:val="1250"/>
        </w:trPr>
        <w:tc>
          <w:tcPr>
            <w:tcW w:w="1350" w:type="dxa"/>
            <w:shd w:val="clear" w:color="auto" w:fill="D9D9D9" w:themeFill="background1" w:themeFillShade="D9"/>
          </w:tcPr>
          <w:bookmarkEnd w:id="6"/>
          <w:p w14:paraId="31B49D23" w14:textId="5938310C" w:rsidR="00045384" w:rsidRPr="00AC3BD4" w:rsidRDefault="00045384" w:rsidP="00A4251C">
            <w:r w:rsidRPr="00AC3BD4">
              <w:lastRenderedPageBreak/>
              <w:t>State EV Charging Location Unique ID*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4FB1B807" w14:textId="0670FBA6" w:rsidR="00045384" w:rsidRPr="00AC3BD4" w:rsidRDefault="00045384" w:rsidP="00A4251C">
            <w:r w:rsidRPr="00AC3BD4">
              <w:t>Route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75A3013D" w14:textId="77777777" w:rsidR="00045384" w:rsidRPr="00AC3BD4" w:rsidRDefault="00045384" w:rsidP="00A4251C">
            <w:r w:rsidRPr="00AC3BD4">
              <w:t xml:space="preserve">Location </w:t>
            </w:r>
          </w:p>
          <w:p w14:paraId="6FEDB311" w14:textId="62B12224" w:rsidR="00045384" w:rsidRPr="00AC3BD4" w:rsidRDefault="00045384" w:rsidP="00A4251C">
            <w:r w:rsidRPr="00AC3BD4">
              <w:t xml:space="preserve">(street address </w:t>
            </w:r>
            <w:r w:rsidR="0074663F">
              <w:t xml:space="preserve"> or AFC + mile marker</w:t>
            </w:r>
            <w:r w:rsidRPr="00AC3BD4">
              <w:t>)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0CFB7ACE" w14:textId="54EEE9C4" w:rsidR="00045384" w:rsidRPr="00AC3BD4" w:rsidRDefault="00045384" w:rsidP="00A4251C">
            <w:r w:rsidRPr="00AC3BD4">
              <w:t>Number of Charging Ports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CB2BB81" w14:textId="77777777" w:rsidR="00045384" w:rsidRPr="00AC3BD4" w:rsidRDefault="00045384" w:rsidP="00A4251C">
            <w:r w:rsidRPr="00AC3BD4">
              <w:t xml:space="preserve">EV Network </w:t>
            </w:r>
          </w:p>
          <w:p w14:paraId="662A5E5D" w14:textId="09737095" w:rsidR="00045384" w:rsidRPr="00AC3BD4" w:rsidRDefault="00045384" w:rsidP="00A4251C">
            <w:r w:rsidRPr="00AC3BD4">
              <w:t>(if known)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258E2C4C" w14:textId="5F18053C" w:rsidR="00045384" w:rsidRPr="00AC3BD4" w:rsidRDefault="00045384" w:rsidP="00A4251C">
            <w:r>
              <w:t>Meets all relevant requirements in</w:t>
            </w:r>
          </w:p>
          <w:p w14:paraId="01F2C44A" w14:textId="09268377" w:rsidR="00045384" w:rsidRPr="00AC3BD4" w:rsidRDefault="00045384" w:rsidP="00A4251C">
            <w:r w:rsidRPr="00AC3BD4">
              <w:t>23 CFR 680?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7DDCD40" w14:textId="3204B414" w:rsidR="00045384" w:rsidRPr="00AC3BD4" w:rsidRDefault="00045384" w:rsidP="00A4251C">
            <w:r w:rsidRPr="00AC3BD4">
              <w:t>Intent to count towards Fully Built Out determination?</w:t>
            </w:r>
          </w:p>
        </w:tc>
      </w:tr>
      <w:tr w:rsidR="00045384" w14:paraId="3307BFDD" w14:textId="0317E9B8" w:rsidTr="00A4251C">
        <w:tc>
          <w:tcPr>
            <w:tcW w:w="1350" w:type="dxa"/>
          </w:tcPr>
          <w:p w14:paraId="1F9BB1AD" w14:textId="77777777" w:rsidR="00045384" w:rsidRDefault="00045384" w:rsidP="002B3960"/>
        </w:tc>
        <w:tc>
          <w:tcPr>
            <w:tcW w:w="734" w:type="dxa"/>
          </w:tcPr>
          <w:p w14:paraId="535414C4" w14:textId="47B2EF52" w:rsidR="00045384" w:rsidRDefault="00045384" w:rsidP="002B3960"/>
        </w:tc>
        <w:tc>
          <w:tcPr>
            <w:tcW w:w="1333" w:type="dxa"/>
          </w:tcPr>
          <w:p w14:paraId="5BAD8BE0" w14:textId="77777777" w:rsidR="00045384" w:rsidRDefault="00045384" w:rsidP="002B3960"/>
        </w:tc>
        <w:tc>
          <w:tcPr>
            <w:tcW w:w="1035" w:type="dxa"/>
          </w:tcPr>
          <w:p w14:paraId="2BDC0710" w14:textId="77777777" w:rsidR="00045384" w:rsidRDefault="00045384" w:rsidP="002B3960"/>
        </w:tc>
        <w:tc>
          <w:tcPr>
            <w:tcW w:w="986" w:type="dxa"/>
          </w:tcPr>
          <w:p w14:paraId="0FEF2CD3" w14:textId="7BE85AC1" w:rsidR="00045384" w:rsidRDefault="00045384" w:rsidP="002B3960"/>
        </w:tc>
        <w:tc>
          <w:tcPr>
            <w:tcW w:w="1582" w:type="dxa"/>
          </w:tcPr>
          <w:p w14:paraId="7B1BC94C" w14:textId="77777777" w:rsidR="00045384" w:rsidRDefault="00045384" w:rsidP="002B3960"/>
        </w:tc>
        <w:tc>
          <w:tcPr>
            <w:tcW w:w="2340" w:type="dxa"/>
          </w:tcPr>
          <w:p w14:paraId="476DE6AC" w14:textId="77777777" w:rsidR="00045384" w:rsidRDefault="00045384" w:rsidP="002B3960"/>
        </w:tc>
      </w:tr>
    </w:tbl>
    <w:p w14:paraId="3A752216" w14:textId="77777777" w:rsidR="00341910" w:rsidRDefault="00341910" w:rsidP="00B305F0">
      <w:pPr>
        <w:ind w:left="720"/>
      </w:pPr>
    </w:p>
    <w:p w14:paraId="1247C773" w14:textId="5BAA9724" w:rsidR="00FA5D23" w:rsidRDefault="00880301" w:rsidP="00B305F0">
      <w:pPr>
        <w:ind w:left="720"/>
        <w:rPr>
          <w:color w:val="FF0000"/>
        </w:rPr>
      </w:pPr>
      <w:r w:rsidRPr="00185B9B">
        <w:t>*Defined by the State – this should match the unique ID in the State’s applicable GIS databases.</w:t>
      </w:r>
    </w:p>
    <w:p w14:paraId="364A66B3" w14:textId="74D150FC" w:rsidR="00880301" w:rsidRDefault="00880301" w:rsidP="00B305F0">
      <w:pPr>
        <w:ind w:left="720"/>
        <w:rPr>
          <w:color w:val="FF0000"/>
        </w:rPr>
      </w:pPr>
    </w:p>
    <w:p w14:paraId="64620B3A" w14:textId="61A74418" w:rsidR="00A8349B" w:rsidRPr="00CE6A35" w:rsidRDefault="00A8349B" w:rsidP="00B305F0">
      <w:pPr>
        <w:ind w:left="720"/>
      </w:pPr>
      <w:r w:rsidRPr="00CE6A35">
        <w:t>Note</w:t>
      </w:r>
      <w:r w:rsidR="00E31969" w:rsidRPr="00CE6A35">
        <w:t xml:space="preserve"> that the </w:t>
      </w:r>
      <w:r w:rsidRPr="00CE6A35">
        <w:t>table can be included in the Appendix, if too lengthy to include here.</w:t>
      </w:r>
    </w:p>
    <w:p w14:paraId="537AE383" w14:textId="64227225" w:rsidR="00C7252B" w:rsidRDefault="00C7252B" w:rsidP="00B305F0">
      <w:pPr>
        <w:ind w:left="720"/>
        <w:rPr>
          <w:color w:val="FF0000"/>
        </w:rPr>
      </w:pPr>
    </w:p>
    <w:p w14:paraId="2B753E85" w14:textId="1600CF2B" w:rsidR="00CF6A7D" w:rsidRPr="008B3645" w:rsidRDefault="008B3645" w:rsidP="007251C7">
      <w:pPr>
        <w:ind w:left="720"/>
        <w:contextualSpacing/>
        <w:rPr>
          <w:i/>
          <w:iCs/>
        </w:rPr>
      </w:pPr>
      <w:r>
        <w:t>&lt;</w:t>
      </w:r>
      <w:r w:rsidR="00BE19BA">
        <w:t>Explicitly identif</w:t>
      </w:r>
      <w:r w:rsidR="00B32A28">
        <w:t>y</w:t>
      </w:r>
      <w:r w:rsidR="00CF6A7D">
        <w:t xml:space="preserve"> the number of existing </w:t>
      </w:r>
      <w:r w:rsidR="007F5D6C">
        <w:t>stations</w:t>
      </w:r>
      <w:r w:rsidR="007043AA">
        <w:t xml:space="preserve"> (and the number of ports at each station)</w:t>
      </w:r>
      <w:r w:rsidR="00CF6A7D">
        <w:t xml:space="preserve"> counted towards </w:t>
      </w:r>
      <w:r w:rsidR="005F5C0B">
        <w:t>the</w:t>
      </w:r>
      <w:r w:rsidR="00CF6A7D">
        <w:t xml:space="preserve"> anticipated determination</w:t>
      </w:r>
      <w:r w:rsidR="005F5C0B">
        <w:t xml:space="preserve"> of fully built out status</w:t>
      </w:r>
      <w:r w:rsidR="008A3252">
        <w:t>.</w:t>
      </w:r>
      <w:r>
        <w:t>&gt;</w:t>
      </w:r>
    </w:p>
    <w:p w14:paraId="286D96D6" w14:textId="046BC960" w:rsidR="004D1AD8" w:rsidRDefault="004D1AD8" w:rsidP="00107C73">
      <w:pPr>
        <w:rPr>
          <w:sz w:val="24"/>
          <w:szCs w:val="24"/>
        </w:rPr>
      </w:pPr>
    </w:p>
    <w:p w14:paraId="05CD4E0D" w14:textId="63CB8E2C" w:rsidR="00107C73" w:rsidRPr="00E77BBB" w:rsidRDefault="00107C73" w:rsidP="009B3C89">
      <w:pPr>
        <w:pStyle w:val="FHWASubtitle"/>
      </w:pPr>
      <w:bookmarkStart w:id="7" w:name="_Toc90022578"/>
      <w:r w:rsidRPr="00E77BBB">
        <w:t xml:space="preserve">EV Charging Infrastructure Deployment </w:t>
      </w:r>
      <w:bookmarkEnd w:id="7"/>
    </w:p>
    <w:p w14:paraId="3CB69049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136BAD32" w14:textId="797FA3C2" w:rsidR="008E4B39" w:rsidRPr="00185B9B" w:rsidRDefault="008E4B39" w:rsidP="008E4B39"/>
    <w:p w14:paraId="0AD0F0D7" w14:textId="71E95526" w:rsidR="0036031F" w:rsidRDefault="0036031F" w:rsidP="00B305F0">
      <w:pPr>
        <w:pStyle w:val="FHWAParagraghHeading"/>
        <w:ind w:left="720"/>
      </w:pPr>
      <w:r>
        <w:t>Planned Charging Stations</w:t>
      </w:r>
      <w:r w:rsidR="003B3290">
        <w:t xml:space="preserve"> </w:t>
      </w:r>
      <w:r w:rsidR="00972C3A" w:rsidRPr="0031107E">
        <w:rPr>
          <w:color w:val="auto"/>
        </w:rPr>
        <w:t>[</w:t>
      </w:r>
      <w:r w:rsidR="0061236D">
        <w:rPr>
          <w:color w:val="auto"/>
        </w:rPr>
        <w:t>REQUIRED</w:t>
      </w:r>
      <w:r w:rsidR="00283C8E">
        <w:rPr>
          <w:color w:val="auto"/>
        </w:rPr>
        <w:t xml:space="preserve"> </w:t>
      </w:r>
      <w:r w:rsidR="00283C8E" w:rsidRPr="2EFEE77E">
        <w:rPr>
          <w:color w:val="auto"/>
        </w:rPr>
        <w:t xml:space="preserve">– Updated </w:t>
      </w:r>
      <w:r w:rsidR="00341910">
        <w:rPr>
          <w:color w:val="auto"/>
        </w:rPr>
        <w:t>6</w:t>
      </w:r>
      <w:r w:rsidR="00364998" w:rsidRPr="00A5297A">
        <w:rPr>
          <w:color w:val="auto"/>
        </w:rPr>
        <w:t>/</w:t>
      </w:r>
      <w:r w:rsidR="003419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="00972C3A" w:rsidRPr="0031107E">
        <w:rPr>
          <w:color w:val="auto"/>
        </w:rPr>
        <w:t xml:space="preserve">]  </w:t>
      </w:r>
    </w:p>
    <w:p w14:paraId="42C15635" w14:textId="52DFD980" w:rsidR="0036031F" w:rsidRDefault="0036031F" w:rsidP="00B305F0">
      <w:pPr>
        <w:ind w:left="720"/>
      </w:pPr>
      <w:r>
        <w:t>&lt;</w:t>
      </w:r>
      <w:r w:rsidR="00437F2B" w:rsidRPr="00437F2B">
        <w:t xml:space="preserve"> </w:t>
      </w:r>
      <w:r w:rsidR="00437F2B">
        <w:t xml:space="preserve">Through the table below, include information about </w:t>
      </w:r>
      <w:r w:rsidR="008F0B39">
        <w:t xml:space="preserve">both </w:t>
      </w:r>
      <w:r>
        <w:t>stations under construction and future stations.&gt;</w:t>
      </w:r>
    </w:p>
    <w:p w14:paraId="5294BBEE" w14:textId="2EFA7CE4" w:rsidR="0036031F" w:rsidRDefault="0036031F" w:rsidP="00B305F0">
      <w:pPr>
        <w:ind w:left="720"/>
      </w:pPr>
    </w:p>
    <w:p w14:paraId="2D97DEE3" w14:textId="30AFCF08" w:rsidR="0036031F" w:rsidRDefault="0036031F" w:rsidP="00B305F0">
      <w:pPr>
        <w:ind w:left="720"/>
      </w:pPr>
      <w:r>
        <w:t>Stations Under Construction</w:t>
      </w:r>
    </w:p>
    <w:tbl>
      <w:tblPr>
        <w:tblW w:w="93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878"/>
        <w:gridCol w:w="998"/>
        <w:gridCol w:w="937"/>
        <w:gridCol w:w="1436"/>
        <w:gridCol w:w="990"/>
        <w:gridCol w:w="1890"/>
        <w:gridCol w:w="1080"/>
      </w:tblGrid>
      <w:tr w:rsidR="00D85EDF" w14:paraId="4BBB0C1D" w14:textId="768FB0CD" w:rsidTr="00A4251C"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85A7" w14:textId="77777777" w:rsidR="00CD5F6B" w:rsidRDefault="00CD5F6B">
            <w:r>
              <w:t>State EV Charging Location Unique ID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33AD" w14:textId="77777777" w:rsidR="00CD5F6B" w:rsidRDefault="00CD5F6B">
            <w:r>
              <w:t>Route (note if AFC)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7625" w14:textId="70A7D744" w:rsidR="00CD5F6B" w:rsidRDefault="00CD5F6B">
            <w:r>
              <w:t xml:space="preserve">Location 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64DA" w14:textId="77777777" w:rsidR="00CD5F6B" w:rsidRDefault="00CD5F6B">
            <w:r>
              <w:t>Number of Ports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B8F8" w14:textId="23210858" w:rsidR="00CD5F6B" w:rsidRDefault="00CD5F6B">
            <w:r>
              <w:t>Estimated Quarter/Year Operational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3B74C" w14:textId="77777777" w:rsidR="00CD5F6B" w:rsidRDefault="00CD5F6B">
            <w:r>
              <w:t>Estimated Cost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7A3BEE" w14:textId="458178AF" w:rsidR="00CD5F6B" w:rsidRDefault="00CD5F6B" w:rsidP="00CD5F6B">
            <w:pPr>
              <w:spacing w:line="256" w:lineRule="auto"/>
            </w:pPr>
            <w:r>
              <w:t>Funding Sources (Choose No NEVI, FY22/FY23, FY24, FY25, FY26, or FY27+)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A8FB" w14:textId="76E23A20" w:rsidR="00CD5F6B" w:rsidRDefault="00CD5F6B">
            <w:r>
              <w:t>New Location or Upgrade?</w:t>
            </w:r>
          </w:p>
        </w:tc>
      </w:tr>
      <w:tr w:rsidR="00D85EDF" w14:paraId="1B5426FA" w14:textId="73254613" w:rsidTr="00A4251C"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A274" w14:textId="77777777" w:rsidR="00CD5F6B" w:rsidRDefault="00CD5F6B"/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27E4" w14:textId="77777777" w:rsidR="00CD5F6B" w:rsidRDefault="00CD5F6B"/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10F3" w14:textId="77777777" w:rsidR="00CD5F6B" w:rsidRDefault="00CD5F6B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F9D1" w14:textId="77777777" w:rsidR="00CD5F6B" w:rsidRDefault="00CD5F6B"/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B8F8" w14:textId="77777777" w:rsidR="00CD5F6B" w:rsidRDefault="00CD5F6B"/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0AC71B" w14:textId="77777777" w:rsidR="00CD5F6B" w:rsidRDefault="00CD5F6B"/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27C800" w14:textId="77777777" w:rsidR="00CD5F6B" w:rsidRDefault="00CD5F6B"/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FE3D23" w14:textId="77777777" w:rsidR="00CD5F6B" w:rsidRDefault="00CD5F6B"/>
        </w:tc>
      </w:tr>
    </w:tbl>
    <w:p w14:paraId="0668051D" w14:textId="77777777" w:rsidR="0036031F" w:rsidRDefault="0036031F" w:rsidP="00B305F0">
      <w:pPr>
        <w:ind w:left="720"/>
        <w:rPr>
          <w:rFonts w:ascii="Calibri" w:eastAsiaTheme="minorHAnsi" w:hAnsi="Calibri" w:cs="Calibri"/>
        </w:rPr>
      </w:pPr>
    </w:p>
    <w:p w14:paraId="5F98D72A" w14:textId="1DBCEA59" w:rsidR="0036031F" w:rsidRDefault="0036031F" w:rsidP="00B305F0">
      <w:pPr>
        <w:ind w:left="720"/>
      </w:pPr>
      <w:r>
        <w:t>Planned Stations</w:t>
      </w:r>
    </w:p>
    <w:tbl>
      <w:tblPr>
        <w:tblW w:w="93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895"/>
        <w:gridCol w:w="998"/>
        <w:gridCol w:w="937"/>
        <w:gridCol w:w="1404"/>
        <w:gridCol w:w="990"/>
        <w:gridCol w:w="1890"/>
        <w:gridCol w:w="1080"/>
      </w:tblGrid>
      <w:tr w:rsidR="00D85EDF" w14:paraId="2508714D" w14:textId="720DEF11" w:rsidTr="00A4251C"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57DA" w14:textId="77777777" w:rsidR="00CD5F6B" w:rsidRDefault="00CD5F6B">
            <w:r>
              <w:t>State EV Charging Location Unique ID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07C3" w14:textId="77777777" w:rsidR="00CD5F6B" w:rsidRDefault="00CD5F6B">
            <w:r>
              <w:t>Route (note if AFC)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74D7" w14:textId="71FA4EC0" w:rsidR="00CD5F6B" w:rsidRDefault="00CD5F6B">
            <w:r>
              <w:t xml:space="preserve">Location 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545E" w14:textId="77777777" w:rsidR="00CD5F6B" w:rsidRDefault="00CD5F6B">
            <w:r>
              <w:t>Number of Ports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6228" w14:textId="78E1BF47" w:rsidR="00CD5F6B" w:rsidRDefault="00CD5F6B">
            <w:r>
              <w:t>Estimated Quarter/Year Operational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2615C" w14:textId="77777777" w:rsidR="00CD5F6B" w:rsidRDefault="00CD5F6B">
            <w:r>
              <w:t>Estimated Cost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17D884" w14:textId="51F1D4E7" w:rsidR="00CD5F6B" w:rsidRDefault="00CD5F6B" w:rsidP="00CD5F6B">
            <w:pPr>
              <w:spacing w:line="256" w:lineRule="auto"/>
            </w:pPr>
            <w:r>
              <w:t>Funding Sources (Choose No NEVI, FY22/FY23, FY24, FY25, FY26, or FY27+)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9961C7" w14:textId="228F462A" w:rsidR="00CD5F6B" w:rsidRDefault="00CD5F6B">
            <w:r>
              <w:t>New Location or Upgrade?</w:t>
            </w:r>
          </w:p>
        </w:tc>
      </w:tr>
      <w:tr w:rsidR="00D85EDF" w14:paraId="201FF2FD" w14:textId="6648D9D8" w:rsidTr="00A4251C"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5862" w14:textId="77777777" w:rsidR="00CD5F6B" w:rsidRDefault="00CD5F6B"/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9765" w14:textId="77777777" w:rsidR="00CD5F6B" w:rsidRDefault="00CD5F6B"/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D7D5" w14:textId="77777777" w:rsidR="00CD5F6B" w:rsidRDefault="00CD5F6B"/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CD8F" w14:textId="77777777" w:rsidR="00CD5F6B" w:rsidRDefault="00CD5F6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D638" w14:textId="77777777" w:rsidR="00CD5F6B" w:rsidRDefault="00CD5F6B"/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06F226" w14:textId="77777777" w:rsidR="00CD5F6B" w:rsidRDefault="00CD5F6B"/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9D8117" w14:textId="77777777" w:rsidR="00CD5F6B" w:rsidRDefault="00CD5F6B"/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DA2969" w14:textId="77777777" w:rsidR="00CD5F6B" w:rsidRDefault="00CD5F6B"/>
        </w:tc>
      </w:tr>
    </w:tbl>
    <w:p w14:paraId="3CB3941F" w14:textId="2AAC101E" w:rsidR="00BB3CFD" w:rsidRDefault="00BB3CFD" w:rsidP="00B44681">
      <w:pPr>
        <w:ind w:left="1440"/>
        <w:rPr>
          <w:highlight w:val="yellow"/>
        </w:rPr>
      </w:pPr>
    </w:p>
    <w:p w14:paraId="378FB8CB" w14:textId="62FA2301" w:rsidR="0036031F" w:rsidRDefault="0036031F" w:rsidP="00B305F0">
      <w:pPr>
        <w:pStyle w:val="FHWAParagraghHeading"/>
        <w:ind w:left="720"/>
      </w:pPr>
      <w:bookmarkStart w:id="8" w:name="_Toc90022584"/>
      <w:r>
        <w:t>Planning Towards a Fully Built Out Determination</w:t>
      </w:r>
      <w:r w:rsidR="003B3290">
        <w:t xml:space="preserve"> </w:t>
      </w:r>
      <w:r w:rsidR="003B3290" w:rsidRPr="00B305F0">
        <w:rPr>
          <w:color w:val="auto"/>
        </w:rPr>
        <w:t>[</w:t>
      </w:r>
      <w:r w:rsidR="0061236D">
        <w:rPr>
          <w:color w:val="auto"/>
        </w:rPr>
        <w:t>REQUIRED</w:t>
      </w:r>
      <w:r w:rsidR="008F1F0A">
        <w:rPr>
          <w:color w:val="auto"/>
        </w:rPr>
        <w:t xml:space="preserve"> </w:t>
      </w:r>
      <w:r w:rsidR="002F082B">
        <w:rPr>
          <w:color w:val="auto"/>
        </w:rPr>
        <w:t>–</w:t>
      </w:r>
      <w:r w:rsidR="008F1F0A">
        <w:rPr>
          <w:color w:val="auto"/>
        </w:rPr>
        <w:t xml:space="preserve"> Updated</w:t>
      </w:r>
      <w:r w:rsidR="002F082B">
        <w:rPr>
          <w:color w:val="auto"/>
        </w:rPr>
        <w:t xml:space="preserve"> </w:t>
      </w:r>
      <w:r w:rsidR="00396410">
        <w:rPr>
          <w:color w:val="auto"/>
        </w:rPr>
        <w:t>6</w:t>
      </w:r>
      <w:r w:rsidR="00364998" w:rsidRPr="00A5297A">
        <w:rPr>
          <w:color w:val="auto"/>
        </w:rPr>
        <w:t>/</w:t>
      </w:r>
      <w:r w:rsidR="003964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="00972C3A" w:rsidRPr="0031107E">
        <w:rPr>
          <w:color w:val="auto"/>
        </w:rPr>
        <w:t xml:space="preserve">]  </w:t>
      </w:r>
    </w:p>
    <w:p w14:paraId="083D390B" w14:textId="77777777" w:rsidR="00396410" w:rsidRPr="00B82049" w:rsidRDefault="00396410" w:rsidP="00A5297A">
      <w:pPr>
        <w:ind w:firstLine="720"/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441BB158" w14:textId="77777777" w:rsidR="00A96CD8" w:rsidRDefault="00A96CD8" w:rsidP="00B305F0">
      <w:pPr>
        <w:ind w:left="720"/>
      </w:pPr>
    </w:p>
    <w:p w14:paraId="12342E3C" w14:textId="6C7D0628" w:rsidR="00F80572" w:rsidRDefault="00A96CD8" w:rsidP="00B305F0">
      <w:pPr>
        <w:ind w:left="720"/>
      </w:pPr>
      <w:r>
        <w:t>&lt;</w:t>
      </w:r>
      <w:r w:rsidR="00F80572">
        <w:t>Insert relevant information into the table below&gt;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685"/>
        <w:gridCol w:w="3780"/>
      </w:tblGrid>
      <w:tr w:rsidR="00F80572" w14:paraId="4FEECAF6" w14:textId="77777777" w:rsidTr="00F80572">
        <w:tc>
          <w:tcPr>
            <w:tcW w:w="3685" w:type="dxa"/>
          </w:tcPr>
          <w:p w14:paraId="0D983A34" w14:textId="16DC65B2" w:rsidR="00F80572" w:rsidRPr="00DB750B" w:rsidRDefault="00F80572" w:rsidP="006B1259">
            <w:pPr>
              <w:rPr>
                <w:rStyle w:val="Emphasis"/>
                <w:b/>
                <w:bCs/>
                <w:i w:val="0"/>
                <w:iCs w:val="0"/>
              </w:rPr>
            </w:pPr>
            <w:r w:rsidRPr="00DB750B">
              <w:rPr>
                <w:rStyle w:val="Emphasis"/>
                <w:i w:val="0"/>
                <w:iCs w:val="0"/>
              </w:rPr>
              <w:t xml:space="preserve">How many stations are still needed to achieve Fully Built Out status (based on the State’s EV AFCs as of </w:t>
            </w:r>
            <w:r w:rsidR="00437F2B">
              <w:rPr>
                <w:rStyle w:val="Emphasis"/>
                <w:i w:val="0"/>
                <w:iCs w:val="0"/>
              </w:rPr>
              <w:t>the date of this update’s submission</w:t>
            </w:r>
            <w:r w:rsidRPr="00DB750B">
              <w:rPr>
                <w:rStyle w:val="Emphasis"/>
                <w:i w:val="0"/>
                <w:iCs w:val="0"/>
              </w:rPr>
              <w:t>)?</w:t>
            </w:r>
          </w:p>
        </w:tc>
        <w:tc>
          <w:tcPr>
            <w:tcW w:w="3780" w:type="dxa"/>
          </w:tcPr>
          <w:p w14:paraId="23FD8547" w14:textId="49B21D8F" w:rsidR="00F80572" w:rsidRDefault="00F80572" w:rsidP="006B1259">
            <w:pPr>
              <w:rPr>
                <w:rStyle w:val="Emphasis"/>
                <w:b/>
                <w:bCs/>
              </w:rPr>
            </w:pPr>
          </w:p>
        </w:tc>
      </w:tr>
      <w:tr w:rsidR="00F80572" w14:paraId="653A0E7F" w14:textId="77777777" w:rsidTr="00F80572">
        <w:tc>
          <w:tcPr>
            <w:tcW w:w="3685" w:type="dxa"/>
          </w:tcPr>
          <w:p w14:paraId="07E4F5E1" w14:textId="69595909" w:rsidR="00F80572" w:rsidRPr="000A0D67" w:rsidRDefault="00F80572" w:rsidP="006B1259">
            <w:pPr>
              <w:rPr>
                <w:rStyle w:val="Emphasis"/>
                <w:b/>
                <w:bCs/>
              </w:rPr>
            </w:pPr>
            <w:r w:rsidRPr="000A0D67">
              <w:t>Provide the estimated month/year to achieve Fully Built Out status:</w:t>
            </w:r>
          </w:p>
        </w:tc>
        <w:tc>
          <w:tcPr>
            <w:tcW w:w="3780" w:type="dxa"/>
          </w:tcPr>
          <w:p w14:paraId="75B96A90" w14:textId="744305F8" w:rsidR="00F80572" w:rsidRDefault="00F80572" w:rsidP="006B1259">
            <w:pPr>
              <w:rPr>
                <w:rStyle w:val="Emphasis"/>
                <w:b/>
                <w:bCs/>
              </w:rPr>
            </w:pPr>
          </w:p>
        </w:tc>
      </w:tr>
    </w:tbl>
    <w:p w14:paraId="0A9EC5AD" w14:textId="7DE6CBAE" w:rsidR="00890474" w:rsidRDefault="00890474" w:rsidP="00890474">
      <w:pPr>
        <w:ind w:left="720"/>
      </w:pPr>
    </w:p>
    <w:p w14:paraId="0A5492B4" w14:textId="1B38ED69" w:rsidR="009322E3" w:rsidRDefault="00A35019" w:rsidP="009322E3">
      <w:pPr>
        <w:pStyle w:val="FHWAParagraghHeading"/>
        <w:ind w:left="720"/>
      </w:pPr>
      <w:r>
        <w:t>EV Charging Infrastructure Deployment After Build Out</w:t>
      </w:r>
      <w:r w:rsidR="009322E3">
        <w:t xml:space="preserve"> </w:t>
      </w:r>
      <w:r w:rsidR="009322E3" w:rsidRPr="00B305F0">
        <w:rPr>
          <w:color w:val="auto"/>
        </w:rPr>
        <w:t>[</w:t>
      </w:r>
      <w:r w:rsidR="009322E3">
        <w:rPr>
          <w:color w:val="auto"/>
        </w:rPr>
        <w:t xml:space="preserve">REQUIRED – Updated </w:t>
      </w:r>
      <w:r w:rsidR="00396410">
        <w:rPr>
          <w:color w:val="auto"/>
        </w:rPr>
        <w:t>6</w:t>
      </w:r>
      <w:r w:rsidR="00364998" w:rsidRPr="00A5297A">
        <w:rPr>
          <w:color w:val="auto"/>
        </w:rPr>
        <w:t>/</w:t>
      </w:r>
      <w:r w:rsidR="003964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="009322E3" w:rsidRPr="0031107E">
        <w:rPr>
          <w:color w:val="auto"/>
        </w:rPr>
        <w:t xml:space="preserve">]  </w:t>
      </w:r>
    </w:p>
    <w:p w14:paraId="302A8382" w14:textId="6A0FD13E" w:rsidR="00011E42" w:rsidRPr="00F80572" w:rsidRDefault="009322E3" w:rsidP="00F80572">
      <w:pPr>
        <w:ind w:left="720"/>
        <w:contextualSpacing/>
        <w:rPr>
          <w:i/>
          <w:iCs/>
        </w:rPr>
      </w:pPr>
      <w:r>
        <w:t xml:space="preserve">&lt; Insert a discussion describing </w:t>
      </w:r>
      <w:r w:rsidR="00011E42">
        <w:t xml:space="preserve">plans for further EV charging infrastructure deployment </w:t>
      </w:r>
      <w:r w:rsidR="00383632">
        <w:t xml:space="preserve">using NEVI funding </w:t>
      </w:r>
      <w:r w:rsidR="00011E42">
        <w:t>after the achievement of full build out</w:t>
      </w:r>
      <w:r w:rsidR="00B26CBD">
        <w:t xml:space="preserve"> such as </w:t>
      </w:r>
      <w:r w:rsidR="00BF3A7B">
        <w:t>deployment strategy, funding strategy</w:t>
      </w:r>
      <w:r w:rsidR="00951B8A">
        <w:t xml:space="preserve"> and how these strategies are</w:t>
      </w:r>
      <w:r w:rsidR="003C787D">
        <w:t xml:space="preserve"> (or will)</w:t>
      </w:r>
      <w:r w:rsidR="00951B8A">
        <w:t xml:space="preserve"> be informed by stakeholder </w:t>
      </w:r>
      <w:r w:rsidR="00D75E94">
        <w:t>input</w:t>
      </w:r>
      <w:r w:rsidR="003C787D">
        <w:t xml:space="preserve"> and community engagement</w:t>
      </w:r>
      <w:r w:rsidR="00011E42">
        <w:t>.</w:t>
      </w:r>
      <w:r w:rsidR="006B7F00">
        <w:t>&gt;</w:t>
      </w:r>
      <w:r w:rsidR="00011E42">
        <w:t xml:space="preserve">  </w:t>
      </w:r>
    </w:p>
    <w:p w14:paraId="6A5E22ED" w14:textId="2686CE6F" w:rsidR="0036031F" w:rsidRDefault="0036031F" w:rsidP="00B44681"/>
    <w:p w14:paraId="58A1D699" w14:textId="1AA1D072" w:rsidR="00107C73" w:rsidRPr="004A09ED" w:rsidRDefault="00107C73" w:rsidP="00341910">
      <w:pPr>
        <w:pStyle w:val="FHWASubtitle"/>
        <w:rPr>
          <w:color w:val="auto"/>
          <w:sz w:val="24"/>
          <w:szCs w:val="24"/>
        </w:rPr>
      </w:pPr>
      <w:r w:rsidRPr="00341910">
        <w:t>Implementation</w:t>
      </w:r>
      <w:bookmarkEnd w:id="8"/>
      <w:r w:rsidR="008F1F0A" w:rsidRPr="2EFEE77E">
        <w:t xml:space="preserve"> </w:t>
      </w:r>
      <w:r w:rsidRPr="2EFEE77E">
        <w:rPr>
          <w:color w:val="auto"/>
          <w:sz w:val="24"/>
          <w:szCs w:val="24"/>
        </w:rPr>
        <w:t xml:space="preserve">  </w:t>
      </w:r>
    </w:p>
    <w:p w14:paraId="3FB4B941" w14:textId="77777777" w:rsidR="00396410" w:rsidRPr="00B82049" w:rsidRDefault="00396410" w:rsidP="00396410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1F1F3BCA" w14:textId="77777777" w:rsidR="00F52C5E" w:rsidRPr="00185B9B" w:rsidRDefault="00F52C5E" w:rsidP="00BD76FC"/>
    <w:p w14:paraId="036D1753" w14:textId="51F86676" w:rsidR="00D106E8" w:rsidRPr="00E77BBB" w:rsidRDefault="00D106E8" w:rsidP="00D106E8">
      <w:pPr>
        <w:pStyle w:val="FHWASubtitle"/>
        <w:rPr>
          <w:sz w:val="24"/>
          <w:szCs w:val="24"/>
          <w:u w:val="single"/>
        </w:rPr>
      </w:pPr>
      <w:bookmarkStart w:id="9" w:name="_Toc90022590"/>
      <w:r w:rsidRPr="00E77BBB">
        <w:t>Equity Considerations</w:t>
      </w:r>
      <w:r w:rsidR="003B3290">
        <w:t xml:space="preserve"> </w:t>
      </w:r>
      <w:r w:rsidR="00972C3A" w:rsidRPr="0031107E">
        <w:rPr>
          <w:color w:val="auto"/>
          <w:sz w:val="24"/>
          <w:szCs w:val="24"/>
        </w:rPr>
        <w:t>[</w:t>
      </w:r>
      <w:r w:rsidR="00215325">
        <w:rPr>
          <w:color w:val="auto"/>
          <w:sz w:val="24"/>
          <w:szCs w:val="24"/>
        </w:rPr>
        <w:t>REQUIRED</w:t>
      </w:r>
      <w:r w:rsidR="00283C8E" w:rsidRPr="2EFEE77E">
        <w:rPr>
          <w:color w:val="auto"/>
          <w:sz w:val="24"/>
          <w:szCs w:val="24"/>
        </w:rPr>
        <w:t xml:space="preserve">– Updated </w:t>
      </w:r>
      <w:r w:rsidR="00396410">
        <w:rPr>
          <w:color w:val="auto"/>
          <w:sz w:val="24"/>
          <w:szCs w:val="24"/>
        </w:rPr>
        <w:t>6</w:t>
      </w:r>
      <w:r w:rsidR="00364998" w:rsidRPr="00AD066C">
        <w:rPr>
          <w:color w:val="auto"/>
          <w:sz w:val="24"/>
          <w:szCs w:val="24"/>
        </w:rPr>
        <w:t>/</w:t>
      </w:r>
      <w:r w:rsidR="00396410">
        <w:rPr>
          <w:color w:val="auto"/>
          <w:sz w:val="24"/>
          <w:szCs w:val="24"/>
        </w:rPr>
        <w:t>11</w:t>
      </w:r>
      <w:r w:rsidR="00364998" w:rsidRPr="00AD066C">
        <w:rPr>
          <w:color w:val="auto"/>
          <w:sz w:val="24"/>
          <w:szCs w:val="24"/>
        </w:rPr>
        <w:t>/24</w:t>
      </w:r>
      <w:r w:rsidR="008F1F0A" w:rsidRPr="006C46AF">
        <w:rPr>
          <w:color w:val="auto"/>
          <w:sz w:val="24"/>
          <w:szCs w:val="24"/>
        </w:rPr>
        <w:t>]</w:t>
      </w:r>
      <w:r w:rsidR="008F1F0A" w:rsidRPr="0031107E">
        <w:rPr>
          <w:color w:val="auto"/>
        </w:rPr>
        <w:t xml:space="preserve">  </w:t>
      </w:r>
    </w:p>
    <w:p w14:paraId="0B248FA4" w14:textId="426554D0" w:rsidR="00D106E8" w:rsidRPr="00185B9B" w:rsidRDefault="00D106E8" w:rsidP="00D106E8">
      <w:r w:rsidRPr="00185B9B">
        <w:t xml:space="preserve">&lt;Include </w:t>
      </w:r>
      <w:r w:rsidR="00CF3068">
        <w:t xml:space="preserve">updates to </w:t>
      </w:r>
      <w:r w:rsidRPr="00185B9B">
        <w:t xml:space="preserve">a discussion of how the State is adhering to the goal outlined in the Justice40 Initiative as a part of Executive Order 14008 in the use of the NEVI Formula Program. </w:t>
      </w:r>
      <w:r w:rsidR="005574B4">
        <w:t xml:space="preserve">Discuss how the plan complies with </w:t>
      </w:r>
      <w:r w:rsidR="00480370">
        <w:t>the White House Interim G</w:t>
      </w:r>
      <w:r w:rsidR="005574B4">
        <w:t>uidance on Justice40</w:t>
      </w:r>
      <w:r w:rsidR="006E703A">
        <w:t xml:space="preserve">, including using the </w:t>
      </w:r>
      <w:hyperlink r:id="rId11" w:anchor="3/33.47/-97.5" w:tgtFrame="_blank" w:tooltip="https://screeningtool.geoplatform.gov/en/#3/33.47/-97.5" w:history="1">
        <w:r w:rsidR="006E703A" w:rsidRPr="00283C8E">
          <w:rPr>
            <w:rStyle w:val="Hyperlink"/>
          </w:rPr>
          <w:t>Climate &amp; Economic Justice Screening Tool</w:t>
        </w:r>
        <w:r w:rsidR="00755789" w:rsidRPr="00283C8E">
          <w:rPr>
            <w:rStyle w:val="Hyperlink"/>
            <w:rFonts w:eastAsiaTheme="majorEastAsia"/>
          </w:rPr>
          <w:t xml:space="preserve"> to</w:t>
        </w:r>
      </w:hyperlink>
      <w:r w:rsidR="00755789" w:rsidRPr="125140DB">
        <w:rPr>
          <w:rStyle w:val="ui-provider"/>
          <w:rFonts w:eastAsiaTheme="majorEastAsia"/>
        </w:rPr>
        <w:t xml:space="preserve"> identify </w:t>
      </w:r>
      <w:r w:rsidR="00755789">
        <w:t>DACs</w:t>
      </w:r>
      <w:r w:rsidRPr="00185B9B">
        <w:t>.</w:t>
      </w:r>
      <w:r w:rsidR="00DF3CDC">
        <w:t xml:space="preserve"> (See Section III-B of the NEVI Formula Program Guidance, Equity Considerations for example benefits)</w:t>
      </w:r>
      <w:r w:rsidRPr="00185B9B">
        <w:t xml:space="preserve">&gt; </w:t>
      </w:r>
    </w:p>
    <w:p w14:paraId="14A73ACE" w14:textId="08F4BEFD" w:rsidR="00D106E8" w:rsidRPr="004047ED" w:rsidRDefault="00D106E8" w:rsidP="00D106E8">
      <w:pPr>
        <w:pStyle w:val="BodyText"/>
      </w:pPr>
    </w:p>
    <w:p w14:paraId="6E87BB76" w14:textId="561EB6ED" w:rsidR="00D106E8" w:rsidRPr="00E77BBB" w:rsidRDefault="00D106E8" w:rsidP="00B305F0">
      <w:pPr>
        <w:pStyle w:val="FHWAParagraghHeading"/>
        <w:ind w:left="720"/>
      </w:pPr>
      <w:r w:rsidRPr="00E77BBB">
        <w:t>Identification and Outreach to Disadvantaged Communities (DACs) in the State</w:t>
      </w:r>
      <w:r w:rsidR="009F033F">
        <w:t xml:space="preserve"> </w:t>
      </w:r>
      <w:r w:rsidR="00170F7B" w:rsidRPr="0031107E">
        <w:rPr>
          <w:color w:val="auto"/>
        </w:rPr>
        <w:t>[</w:t>
      </w:r>
      <w:r w:rsidR="00215325">
        <w:rPr>
          <w:color w:val="auto"/>
        </w:rPr>
        <w:t>REQUIRED</w:t>
      </w:r>
      <w:r w:rsidR="009B160B" w:rsidRPr="2EFEE77E">
        <w:rPr>
          <w:color w:val="auto"/>
        </w:rPr>
        <w:t xml:space="preserve">– Updated </w:t>
      </w:r>
      <w:r w:rsidR="00396410">
        <w:rPr>
          <w:color w:val="auto"/>
        </w:rPr>
        <w:t>6</w:t>
      </w:r>
      <w:r w:rsidR="00364998" w:rsidRPr="00AD066C">
        <w:rPr>
          <w:color w:val="auto"/>
        </w:rPr>
        <w:t>/</w:t>
      </w:r>
      <w:r w:rsidR="003964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="008F1F0A" w:rsidRPr="00944EF6">
        <w:rPr>
          <w:color w:val="auto"/>
        </w:rPr>
        <w:t>]</w:t>
      </w:r>
      <w:r w:rsidR="008F1F0A" w:rsidRPr="0031107E">
        <w:rPr>
          <w:color w:val="auto"/>
        </w:rPr>
        <w:t xml:space="preserve">  </w:t>
      </w:r>
      <w:r w:rsidR="00170F7B" w:rsidRPr="0031107E">
        <w:rPr>
          <w:color w:val="auto"/>
        </w:rPr>
        <w:t xml:space="preserve"> </w:t>
      </w:r>
    </w:p>
    <w:p w14:paraId="682F9AC5" w14:textId="59C35F68" w:rsidR="00D106E8" w:rsidRPr="00185B9B" w:rsidRDefault="00D106E8" w:rsidP="00B305F0">
      <w:pPr>
        <w:ind w:left="720"/>
      </w:pPr>
      <w:r w:rsidRPr="00185B9B">
        <w:t>&lt;Insert discussion here</w:t>
      </w:r>
      <w:r w:rsidR="00D83541">
        <w:t xml:space="preserve"> </w:t>
      </w:r>
      <w:r w:rsidR="0010721C">
        <w:t>identifying DACs and describing outreach to DACs for the development of this Plan</w:t>
      </w:r>
      <w:r w:rsidR="00E433F2">
        <w:t>.</w:t>
      </w:r>
      <w:r w:rsidR="0010721C">
        <w:t xml:space="preserve"> </w:t>
      </w:r>
      <w:r w:rsidR="00BA587A">
        <w:t>E</w:t>
      </w:r>
      <w:r w:rsidR="00ED733B">
        <w:t>nsure DAC priorities are being represented in the Plan</w:t>
      </w:r>
      <w:r w:rsidR="00BA587A">
        <w:t xml:space="preserve"> by</w:t>
      </w:r>
      <w:r w:rsidR="00ED733B">
        <w:t xml:space="preserve"> provid</w:t>
      </w:r>
      <w:r w:rsidR="00BA587A">
        <w:t>ing</w:t>
      </w:r>
      <w:r w:rsidR="00ED733B">
        <w:t xml:space="preserve"> detail regarding the groups met with</w:t>
      </w:r>
      <w:r w:rsidR="00BA587A">
        <w:t>,</w:t>
      </w:r>
      <w:r w:rsidR="00ED733B">
        <w:t xml:space="preserve"> and show how the input of these groups was used to inform the development of the State Plan.</w:t>
      </w:r>
      <w:r w:rsidR="00ED733B">
        <w:rPr>
          <w:color w:val="FF0000"/>
        </w:rPr>
        <w:t xml:space="preserve"> </w:t>
      </w:r>
      <w:r w:rsidR="00ED733B">
        <w:t> </w:t>
      </w:r>
      <w:r w:rsidRPr="00185B9B">
        <w:t>&gt;</w:t>
      </w:r>
    </w:p>
    <w:p w14:paraId="05516FFB" w14:textId="73A05BE9" w:rsidR="00D106E8" w:rsidRPr="00353E5F" w:rsidRDefault="00D106E8" w:rsidP="00B305F0">
      <w:pPr>
        <w:ind w:left="720"/>
      </w:pPr>
    </w:p>
    <w:p w14:paraId="20419FB1" w14:textId="3F4D6960" w:rsidR="00D106E8" w:rsidRPr="00E77BBB" w:rsidRDefault="00D106E8" w:rsidP="00B305F0">
      <w:pPr>
        <w:pStyle w:val="FHWAParagraghHeading"/>
        <w:ind w:left="720"/>
      </w:pPr>
      <w:r w:rsidRPr="00E77BBB">
        <w:t>Process to Identify, Quantify, and Measure Benefits to DACs</w:t>
      </w:r>
      <w:r w:rsidR="009F033F">
        <w:t xml:space="preserve"> </w:t>
      </w:r>
      <w:r w:rsidR="00170F7B" w:rsidRPr="0031107E">
        <w:rPr>
          <w:color w:val="auto"/>
        </w:rPr>
        <w:t>[</w:t>
      </w:r>
      <w:r w:rsidR="00215325">
        <w:rPr>
          <w:color w:val="auto"/>
        </w:rPr>
        <w:t>REQUIRED</w:t>
      </w:r>
      <w:r w:rsidR="009B160B" w:rsidRPr="2EFEE77E">
        <w:rPr>
          <w:color w:val="auto"/>
        </w:rPr>
        <w:t xml:space="preserve">– Updated </w:t>
      </w:r>
      <w:r w:rsidR="00396410">
        <w:rPr>
          <w:color w:val="auto"/>
        </w:rPr>
        <w:t>6</w:t>
      </w:r>
      <w:r w:rsidR="00364998" w:rsidRPr="00AD066C">
        <w:rPr>
          <w:color w:val="auto"/>
        </w:rPr>
        <w:t>/</w:t>
      </w:r>
      <w:r w:rsidR="00396410">
        <w:rPr>
          <w:color w:val="auto"/>
        </w:rPr>
        <w:t>11</w:t>
      </w:r>
      <w:r w:rsidR="00364998" w:rsidRPr="00AD066C">
        <w:rPr>
          <w:color w:val="auto"/>
        </w:rPr>
        <w:t>/24</w:t>
      </w:r>
      <w:r w:rsidR="008F1F0A" w:rsidRPr="00944EF6">
        <w:rPr>
          <w:color w:val="auto"/>
        </w:rPr>
        <w:t>]</w:t>
      </w:r>
      <w:r w:rsidR="008F1F0A" w:rsidRPr="0031107E">
        <w:rPr>
          <w:color w:val="auto"/>
        </w:rPr>
        <w:t xml:space="preserve">  </w:t>
      </w:r>
      <w:r w:rsidR="00170F7B" w:rsidRPr="0031107E">
        <w:rPr>
          <w:color w:val="auto"/>
        </w:rPr>
        <w:t xml:space="preserve">  </w:t>
      </w:r>
    </w:p>
    <w:p w14:paraId="109802ED" w14:textId="0F1A09FB" w:rsidR="00D106E8" w:rsidRDefault="00D106E8">
      <w:pPr>
        <w:pStyle w:val="CommentText"/>
        <w:ind w:left="720"/>
      </w:pPr>
      <w:r w:rsidRPr="00185B9B">
        <w:t>&lt;</w:t>
      </w:r>
      <w:r w:rsidRPr="00E433F2">
        <w:rPr>
          <w:sz w:val="22"/>
          <w:szCs w:val="22"/>
        </w:rPr>
        <w:t xml:space="preserve">Insert discussion of which benefits will be measured, what metric will be used to measure those benefits, and the data sources </w:t>
      </w:r>
      <w:r w:rsidR="00510A3B" w:rsidRPr="00B924AC">
        <w:rPr>
          <w:sz w:val="22"/>
          <w:szCs w:val="22"/>
        </w:rPr>
        <w:t>and analysis methods</w:t>
      </w:r>
      <w:r w:rsidR="00510A3B">
        <w:t xml:space="preserve"> </w:t>
      </w:r>
      <w:r w:rsidRPr="00E433F2">
        <w:rPr>
          <w:sz w:val="22"/>
          <w:szCs w:val="22"/>
        </w:rPr>
        <w:t xml:space="preserve">used to track metrics. </w:t>
      </w:r>
      <w:r w:rsidR="00BD1D4D">
        <w:rPr>
          <w:sz w:val="22"/>
          <w:szCs w:val="22"/>
        </w:rPr>
        <w:t xml:space="preserve"> </w:t>
      </w:r>
      <w:r w:rsidR="00EE1895" w:rsidRPr="00B924AC">
        <w:rPr>
          <w:sz w:val="22"/>
          <w:szCs w:val="22"/>
        </w:rPr>
        <w:t>Also describe how a baseline and goals may be set for each benefit area, and how communities will be engaged to validate the receipt of benefits.</w:t>
      </w:r>
      <w:r w:rsidR="00EE1895">
        <w:t xml:space="preserve"> </w:t>
      </w:r>
      <w:r w:rsidR="005574B4" w:rsidRPr="00E433F2">
        <w:rPr>
          <w:sz w:val="22"/>
          <w:szCs w:val="22"/>
        </w:rPr>
        <w:t xml:space="preserve">Refer to </w:t>
      </w:r>
      <w:r w:rsidR="00480370">
        <w:rPr>
          <w:sz w:val="22"/>
          <w:szCs w:val="22"/>
        </w:rPr>
        <w:t>White House Interim</w:t>
      </w:r>
      <w:r w:rsidR="005574B4" w:rsidRPr="00E433F2">
        <w:rPr>
          <w:sz w:val="22"/>
          <w:szCs w:val="22"/>
        </w:rPr>
        <w:t xml:space="preserve"> </w:t>
      </w:r>
      <w:r w:rsidR="00480370">
        <w:rPr>
          <w:sz w:val="22"/>
          <w:szCs w:val="22"/>
        </w:rPr>
        <w:t>G</w:t>
      </w:r>
      <w:r w:rsidR="005574B4" w:rsidRPr="00E433F2">
        <w:rPr>
          <w:sz w:val="22"/>
          <w:szCs w:val="22"/>
        </w:rPr>
        <w:t>uidance</w:t>
      </w:r>
      <w:r w:rsidR="00480370">
        <w:rPr>
          <w:sz w:val="22"/>
          <w:szCs w:val="22"/>
        </w:rPr>
        <w:t xml:space="preserve"> on Justice40</w:t>
      </w:r>
      <w:r w:rsidR="005574B4" w:rsidRPr="00E433F2">
        <w:rPr>
          <w:sz w:val="22"/>
          <w:szCs w:val="22"/>
        </w:rPr>
        <w:t xml:space="preserve"> for examples on measuring benefits to DACs. </w:t>
      </w:r>
      <w:r w:rsidR="00BD1D4D">
        <w:rPr>
          <w:sz w:val="22"/>
          <w:szCs w:val="22"/>
        </w:rPr>
        <w:t xml:space="preserve"> </w:t>
      </w:r>
      <w:r w:rsidR="005574B4" w:rsidRPr="00E433F2">
        <w:rPr>
          <w:sz w:val="22"/>
          <w:szCs w:val="22"/>
        </w:rPr>
        <w:t>For mapping benefits to DACs, refer to Argonne National Laboratory’s page Electric Vehicle Charging Equity Considerations and the Electric Vehicle Charging Justice40 Map tool</w:t>
      </w:r>
      <w:r w:rsidR="005574B4" w:rsidRPr="005574B4">
        <w:t>.</w:t>
      </w:r>
      <w:r w:rsidR="00E433F2">
        <w:t>&gt;</w:t>
      </w:r>
      <w:r w:rsidRPr="00185B9B">
        <w:t xml:space="preserve"> </w:t>
      </w:r>
    </w:p>
    <w:p w14:paraId="43A58DF5" w14:textId="77777777" w:rsidR="00CB0BF8" w:rsidRDefault="00CB0BF8">
      <w:pPr>
        <w:pStyle w:val="CommentText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710"/>
        <w:gridCol w:w="1795"/>
      </w:tblGrid>
      <w:tr w:rsidR="00CD0E22" w14:paraId="027712BB" w14:textId="6C196F08" w:rsidTr="00A4251C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50D7C" w14:textId="77777777" w:rsidR="00CD0E22" w:rsidRPr="00C44DE3" w:rsidRDefault="00CD0E22">
            <w:pPr>
              <w:pStyle w:val="CommentText"/>
              <w:rPr>
                <w:b/>
                <w:bCs/>
              </w:rPr>
            </w:pPr>
            <w:r w:rsidRPr="00C44DE3">
              <w:rPr>
                <w:b/>
                <w:bCs/>
              </w:rPr>
              <w:t>Benefits Category (examples)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31DB1" w14:textId="2C0765FB" w:rsidR="00CD0E22" w:rsidRPr="00C44DE3" w:rsidRDefault="00CD0E22">
            <w:pPr>
              <w:pStyle w:val="CommentText"/>
              <w:rPr>
                <w:b/>
                <w:bCs/>
              </w:rPr>
            </w:pPr>
            <w:r>
              <w:rPr>
                <w:b/>
                <w:bCs/>
              </w:rPr>
              <w:t>Metrics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56C1C" w14:textId="63B33D2C" w:rsidR="00CD0E22" w:rsidRPr="00C44DE3" w:rsidRDefault="00CD0E22">
            <w:pPr>
              <w:pStyle w:val="CommentText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</w:tc>
      </w:tr>
      <w:tr w:rsidR="00CD0E22" w14:paraId="7A742395" w14:textId="1A8B076B" w:rsidTr="00A4251C">
        <w:trPr>
          <w:trHeight w:val="3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F33" w14:textId="17D06038" w:rsidR="00CD0E22" w:rsidRDefault="00CD0E22" w:rsidP="00D85EDF">
            <w:pPr>
              <w:pStyle w:val="CommentText"/>
            </w:pPr>
            <w:r>
              <w:t>Improve clean transportation access through the location of chargers;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B4A0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4CB" w14:textId="77777777" w:rsidR="00CD0E22" w:rsidRDefault="00CD0E22">
            <w:pPr>
              <w:pStyle w:val="CommentText"/>
            </w:pPr>
          </w:p>
        </w:tc>
      </w:tr>
      <w:tr w:rsidR="00CD0E22" w14:paraId="4FC25FC4" w14:textId="45B6482D" w:rsidTr="00A4251C">
        <w:trPr>
          <w:trHeight w:val="449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6B3" w14:textId="3007FDBD" w:rsidR="00CD0E22" w:rsidRDefault="00CD0E22" w:rsidP="00D85EDF">
            <w:pPr>
              <w:pStyle w:val="CommentText"/>
            </w:pPr>
            <w:r>
              <w:t>Decrease the transportation energy cost burden by enabling reliable access to affordable charging;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404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D1C" w14:textId="77777777" w:rsidR="00CD0E22" w:rsidRDefault="00CD0E22">
            <w:pPr>
              <w:pStyle w:val="CommentText"/>
            </w:pPr>
          </w:p>
        </w:tc>
      </w:tr>
      <w:tr w:rsidR="00CD0E22" w14:paraId="1D62C879" w14:textId="15978419" w:rsidTr="00A4251C">
        <w:trPr>
          <w:trHeight w:val="24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286" w14:textId="77777777" w:rsidR="00CD0E22" w:rsidRDefault="00CD0E22">
            <w:pPr>
              <w:pStyle w:val="CommentText"/>
            </w:pPr>
            <w:r>
              <w:t>Reduce environmental exposures to transportation emissions;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418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1A5" w14:textId="77777777" w:rsidR="00CD0E22" w:rsidRDefault="00CD0E22">
            <w:pPr>
              <w:pStyle w:val="CommentText"/>
            </w:pPr>
          </w:p>
        </w:tc>
      </w:tr>
      <w:tr w:rsidR="00CD0E22" w14:paraId="059DB8F3" w14:textId="55CF1225" w:rsidTr="00A4251C">
        <w:trPr>
          <w:trHeight w:val="26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2B5" w14:textId="3D9E1ABF" w:rsidR="00CD0E22" w:rsidRDefault="00CD0E22" w:rsidP="00D85EDF">
            <w:pPr>
              <w:pStyle w:val="CommentText"/>
            </w:pPr>
            <w:r>
              <w:t>Increase parity in clean energy technology access and adoption;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E59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8D7" w14:textId="77777777" w:rsidR="00CD0E22" w:rsidRDefault="00CD0E22">
            <w:pPr>
              <w:pStyle w:val="CommentText"/>
            </w:pPr>
          </w:p>
        </w:tc>
      </w:tr>
      <w:tr w:rsidR="00CD0E22" w14:paraId="58DFC1F6" w14:textId="19AA3692" w:rsidTr="00A4251C">
        <w:trPr>
          <w:trHeight w:val="449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E2E0" w14:textId="77777777" w:rsidR="00CD0E22" w:rsidRDefault="00CD0E22">
            <w:pPr>
              <w:pStyle w:val="CommentText"/>
            </w:pPr>
            <w:r>
              <w:t>Increase access to low-cost capital to increase equitable adoption of more costly, clean energy technologies like EVs and EV chargers;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F60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6BF" w14:textId="77777777" w:rsidR="00CD0E22" w:rsidRDefault="00CD0E22">
            <w:pPr>
              <w:pStyle w:val="CommentText"/>
            </w:pPr>
          </w:p>
        </w:tc>
      </w:tr>
      <w:tr w:rsidR="00CD0E22" w14:paraId="765BB12B" w14:textId="24D9EEED" w:rsidTr="00A4251C">
        <w:trPr>
          <w:trHeight w:val="69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DD46" w14:textId="77777777" w:rsidR="00CD0E22" w:rsidRDefault="00CD0E22">
            <w:pPr>
              <w:pStyle w:val="CommentText"/>
            </w:pPr>
            <w:r>
              <w:t xml:space="preserve">Increase the clean energy job pipeline, job training, and enterprise creation in disadvantaged </w:t>
            </w:r>
            <w:proofErr w:type="gramStart"/>
            <w:r>
              <w:t>communities;</w:t>
            </w:r>
            <w:proofErr w:type="gramEnd"/>
          </w:p>
          <w:p w14:paraId="56D59747" w14:textId="77777777" w:rsidR="00CD0E22" w:rsidRDefault="00CD0E22">
            <w:pPr>
              <w:pStyle w:val="CommentText"/>
            </w:pPr>
            <w:r>
              <w:t>Increase energy resilience;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842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E17" w14:textId="77777777" w:rsidR="00CD0E22" w:rsidRDefault="00CD0E22">
            <w:pPr>
              <w:pStyle w:val="CommentText"/>
            </w:pPr>
          </w:p>
        </w:tc>
      </w:tr>
      <w:tr w:rsidR="00CD0E22" w14:paraId="4706AC99" w14:textId="57BF6F79" w:rsidTr="00A4251C">
        <w:trPr>
          <w:trHeight w:val="26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5BF" w14:textId="7574D81E" w:rsidR="00CD0E22" w:rsidRDefault="00CD0E22" w:rsidP="00A4251C">
            <w:pPr>
              <w:pStyle w:val="CommentText"/>
            </w:pPr>
            <w:r>
              <w:t>Provide charging infrastructure for transit and shared-ride vehicles;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41D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6DA" w14:textId="77777777" w:rsidR="00CD0E22" w:rsidRDefault="00CD0E22">
            <w:pPr>
              <w:pStyle w:val="CommentText"/>
            </w:pPr>
          </w:p>
        </w:tc>
      </w:tr>
      <w:tr w:rsidR="00CD0E22" w14:paraId="6A8B7C23" w14:textId="56FCF017" w:rsidTr="00A4251C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3DC" w14:textId="1E93E2B9" w:rsidR="00CD0E22" w:rsidRDefault="00CD0E22" w:rsidP="00A4251C">
            <w:r w:rsidRPr="00327078">
              <w:rPr>
                <w:sz w:val="20"/>
                <w:szCs w:val="20"/>
              </w:rPr>
              <w:t>Increase equitable access to the electric grid; 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5BA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A48" w14:textId="77777777" w:rsidR="00CD0E22" w:rsidRDefault="00CD0E22">
            <w:pPr>
              <w:pStyle w:val="CommentText"/>
            </w:pPr>
          </w:p>
        </w:tc>
      </w:tr>
      <w:tr w:rsidR="00CD0E22" w14:paraId="77A5B5BB" w14:textId="73569EC5" w:rsidTr="00A4251C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411" w14:textId="77777777" w:rsidR="00CD0E22" w:rsidRDefault="00CD0E22">
            <w:pPr>
              <w:pStyle w:val="CommentText"/>
            </w:pPr>
            <w:r>
              <w:t xml:space="preserve">Minimize gentrification-induced displacement result from new EV </w:t>
            </w:r>
            <w:r>
              <w:lastRenderedPageBreak/>
              <w:t>charging infrastructure.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27D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AC2" w14:textId="77777777" w:rsidR="00CD0E22" w:rsidRDefault="00CD0E22">
            <w:pPr>
              <w:pStyle w:val="CommentText"/>
            </w:pPr>
          </w:p>
        </w:tc>
      </w:tr>
      <w:tr w:rsidR="00CD0E22" w14:paraId="28BB0DF9" w14:textId="6A80A06B" w:rsidTr="00A4251C"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BC59" w14:textId="77777777" w:rsidR="00CD0E22" w:rsidRDefault="00CD0E22">
            <w:pPr>
              <w:pStyle w:val="CommentText"/>
            </w:pPr>
            <w:r>
              <w:t>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E15" w14:textId="77777777" w:rsidR="00CD0E22" w:rsidRDefault="00CD0E22">
            <w:pPr>
              <w:pStyle w:val="Comment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4C4" w14:textId="77777777" w:rsidR="00CD0E22" w:rsidRDefault="00CD0E22">
            <w:pPr>
              <w:pStyle w:val="CommentText"/>
            </w:pPr>
          </w:p>
        </w:tc>
      </w:tr>
    </w:tbl>
    <w:p w14:paraId="07F36727" w14:textId="49081FE6" w:rsidR="008F7788" w:rsidRPr="00E77BBB" w:rsidRDefault="008F7788" w:rsidP="008F7788">
      <w:pPr>
        <w:pStyle w:val="FHWASubtitle"/>
      </w:pPr>
      <w:r w:rsidRPr="00E77BBB">
        <w:t>Labor and Workforce Considerations</w:t>
      </w:r>
      <w:r w:rsidR="003B3290">
        <w:t xml:space="preserve"> </w:t>
      </w:r>
      <w:r w:rsidR="008F1F0A" w:rsidRPr="00944EF6">
        <w:rPr>
          <w:color w:val="auto"/>
          <w:sz w:val="24"/>
          <w:szCs w:val="24"/>
        </w:rPr>
        <w:t>[</w:t>
      </w:r>
      <w:r w:rsidR="00327078">
        <w:rPr>
          <w:color w:val="auto"/>
          <w:sz w:val="24"/>
          <w:szCs w:val="24"/>
        </w:rPr>
        <w:t>REQUIRED</w:t>
      </w:r>
      <w:r w:rsidR="009B160B" w:rsidRPr="2EFEE77E">
        <w:rPr>
          <w:color w:val="auto"/>
          <w:sz w:val="24"/>
          <w:szCs w:val="24"/>
        </w:rPr>
        <w:t xml:space="preserve">– Updated </w:t>
      </w:r>
      <w:r w:rsidR="00396410">
        <w:rPr>
          <w:color w:val="auto"/>
          <w:sz w:val="24"/>
          <w:szCs w:val="24"/>
        </w:rPr>
        <w:t>6</w:t>
      </w:r>
      <w:r w:rsidR="00364998" w:rsidRPr="00AD066C">
        <w:rPr>
          <w:color w:val="auto"/>
          <w:sz w:val="24"/>
          <w:szCs w:val="24"/>
        </w:rPr>
        <w:t>/</w:t>
      </w:r>
      <w:r w:rsidR="00396410">
        <w:rPr>
          <w:color w:val="auto"/>
          <w:sz w:val="24"/>
          <w:szCs w:val="24"/>
        </w:rPr>
        <w:t>11</w:t>
      </w:r>
      <w:r w:rsidR="00364998" w:rsidRPr="00AD066C">
        <w:rPr>
          <w:color w:val="auto"/>
          <w:sz w:val="24"/>
          <w:szCs w:val="24"/>
        </w:rPr>
        <w:t>/24</w:t>
      </w:r>
      <w:r w:rsidR="008F1F0A" w:rsidRPr="00944EF6">
        <w:rPr>
          <w:color w:val="auto"/>
          <w:sz w:val="24"/>
          <w:szCs w:val="24"/>
        </w:rPr>
        <w:t>]</w:t>
      </w:r>
      <w:r w:rsidR="008F1F0A" w:rsidRPr="00B44681">
        <w:rPr>
          <w:color w:val="auto"/>
        </w:rPr>
        <w:t xml:space="preserve">  </w:t>
      </w:r>
      <w:r w:rsidR="003B3290">
        <w:t xml:space="preserve"> </w:t>
      </w:r>
    </w:p>
    <w:p w14:paraId="1FC909C1" w14:textId="51E24F61" w:rsidR="008F7788" w:rsidRDefault="008F7788" w:rsidP="00222394">
      <w:r w:rsidRPr="00185B9B">
        <w:t>&lt;</w:t>
      </w:r>
      <w:r w:rsidRPr="002121DC">
        <w:t xml:space="preserve">Insert </w:t>
      </w:r>
      <w:r w:rsidR="00CF3068" w:rsidRPr="002121DC">
        <w:t xml:space="preserve">updates to </w:t>
      </w:r>
      <w:r w:rsidRPr="002121DC">
        <w:t xml:space="preserve">discussion </w:t>
      </w:r>
      <w:r w:rsidR="00B34B78" w:rsidRPr="002121DC">
        <w:t>of how the State will approach training, experience level, and diversity of the workforce installing and maintaining EV charging infrastructure.</w:t>
      </w:r>
      <w:r w:rsidR="00475212" w:rsidRPr="002121DC">
        <w:t xml:space="preserve"> At a minimum, this should include a discussion of how the State will ensure that the workforce installing, maintaining, and operating chargers has appropriate licenses, certifications and trainings in compliance with </w:t>
      </w:r>
      <w:hyperlink r:id="rId12" w:history="1">
        <w:r w:rsidR="00475212" w:rsidRPr="002121DC">
          <w:rPr>
            <w:rStyle w:val="Hyperlink"/>
          </w:rPr>
          <w:t>23 CFR 680.106(j)</w:t>
        </w:r>
      </w:hyperlink>
      <w:r w:rsidR="00475212" w:rsidRPr="002121DC">
        <w:t xml:space="preserve">. </w:t>
      </w:r>
      <w:r w:rsidR="00BC4D69">
        <w:t>S</w:t>
      </w:r>
      <w:r w:rsidR="00222394">
        <w:t xml:space="preserve">pecifically clarify that </w:t>
      </w:r>
      <w:r w:rsidR="00C0648E">
        <w:t>any</w:t>
      </w:r>
      <w:r w:rsidR="00222394">
        <w:t xml:space="preserve"> additional apprenticeship and/or training programs reference</w:t>
      </w:r>
      <w:r w:rsidR="00C0648E">
        <w:t>d</w:t>
      </w:r>
      <w:r w:rsidR="00222394">
        <w:t xml:space="preserve"> </w:t>
      </w:r>
      <w:r w:rsidR="00C0648E">
        <w:t>would</w:t>
      </w:r>
      <w:r w:rsidR="00222394">
        <w:t xml:space="preserve"> only be utilized in place of the Electric Vehicle Infrastructure Training Program (EVITP) if and when such programs are approved by the Department of Labor per the </w:t>
      </w:r>
      <w:hyperlink r:id="rId13" w:history="1">
        <w:r w:rsidR="00222394">
          <w:rPr>
            <w:rStyle w:val="Hyperlink"/>
          </w:rPr>
          <w:t>23 CFR 680.106(j)</w:t>
        </w:r>
      </w:hyperlink>
      <w:r w:rsidR="00222394">
        <w:t xml:space="preserve">. </w:t>
      </w:r>
      <w:r w:rsidR="00475212" w:rsidRPr="002121DC">
        <w:t>Plans should also discuss how these qualified workforce requirements are enforced through the State’s NEVI contracting and procurement strategies.</w:t>
      </w:r>
      <w:r w:rsidRPr="002121DC">
        <w:t>&gt;</w:t>
      </w:r>
    </w:p>
    <w:p w14:paraId="4F53D7A6" w14:textId="77777777" w:rsidR="00C0648E" w:rsidRDefault="00C0648E" w:rsidP="00222394"/>
    <w:p w14:paraId="4B8BAF99" w14:textId="2C386586" w:rsidR="004D411E" w:rsidRDefault="004D411E" w:rsidP="00222394">
      <w:r>
        <w:t xml:space="preserve">&lt;Confirm intent to comply </w:t>
      </w:r>
      <w:r w:rsidR="00431810">
        <w:t xml:space="preserve">with 23 CFR 680.106(j) </w:t>
      </w:r>
      <w:r>
        <w:t>by including the following statement</w:t>
      </w:r>
      <w:r w:rsidR="006A0629">
        <w:t>:</w:t>
      </w:r>
      <w:r>
        <w:t xml:space="preserve">&gt; </w:t>
      </w:r>
    </w:p>
    <w:p w14:paraId="6D866293" w14:textId="73CB1D1D" w:rsidR="004D411E" w:rsidRPr="00222394" w:rsidRDefault="001C003F" w:rsidP="00222394">
      <w:pPr>
        <w:rPr>
          <w:sz w:val="25"/>
        </w:rPr>
      </w:pPr>
      <w:r>
        <w:rPr>
          <w:rStyle w:val="ui-provider"/>
          <w:rFonts w:eastAsiaTheme="majorEastAsia"/>
        </w:rPr>
        <w:t>“</w:t>
      </w:r>
      <w:r w:rsidR="004D411E">
        <w:rPr>
          <w:rStyle w:val="ui-provider"/>
          <w:rFonts w:eastAsiaTheme="majorEastAsia"/>
        </w:rPr>
        <w:t xml:space="preserve">In compliance with </w:t>
      </w:r>
      <w:hyperlink r:id="rId14" w:tgtFrame="_blank" w:tooltip="https://www.ecfr.gov/current/title-23/chapter-i/subchapter-g/part-680" w:history="1">
        <w:r w:rsidR="004D411E">
          <w:rPr>
            <w:rStyle w:val="Hyperlink"/>
          </w:rPr>
          <w:t>23 CFR 680.106(j)</w:t>
        </w:r>
      </w:hyperlink>
      <w:r w:rsidR="004D411E">
        <w:rPr>
          <w:rStyle w:val="ui-provider"/>
          <w:rFonts w:eastAsiaTheme="majorEastAsia"/>
        </w:rPr>
        <w:t xml:space="preserve"> to ensure that the installation and maintenance of chargers is performed safely by a qualified and increasingly diverse workforce of licensed technicians and other laborers, all electricians installing, operating, or maintaining EVSE must receive certification from the EVITP or a registered apprenticeship program for electricians that includes charger-specific training developed as part of a national guideline standard approved by the Department of Labor in consultation with the Department of Transportation, </w:t>
      </w:r>
      <w:r w:rsidR="004D411E" w:rsidRPr="004D411E">
        <w:rPr>
          <w:rStyle w:val="Strong"/>
          <w:rFonts w:eastAsiaTheme="majorEastAsia"/>
          <w:b w:val="0"/>
          <w:bCs w:val="0"/>
        </w:rPr>
        <w:t>if and when such programs are approved</w:t>
      </w:r>
      <w:r w:rsidR="004D411E" w:rsidRPr="004D411E">
        <w:rPr>
          <w:rStyle w:val="ui-provider"/>
          <w:rFonts w:eastAsiaTheme="majorEastAsia"/>
          <w:b/>
        </w:rPr>
        <w:t>.</w:t>
      </w:r>
      <w:r>
        <w:rPr>
          <w:rStyle w:val="ui-provider"/>
          <w:rFonts w:eastAsiaTheme="majorEastAsia"/>
          <w:b/>
        </w:rPr>
        <w:t>”</w:t>
      </w:r>
    </w:p>
    <w:p w14:paraId="3876F0E7" w14:textId="77777777" w:rsidR="00807E1A" w:rsidRDefault="00807E1A" w:rsidP="008F7788">
      <w:pPr>
        <w:rPr>
          <w:color w:val="FF0000"/>
        </w:rPr>
      </w:pPr>
    </w:p>
    <w:p w14:paraId="06574BE7" w14:textId="6645E986" w:rsidR="00BD6BAF" w:rsidRPr="00E77BBB" w:rsidRDefault="000E2A24" w:rsidP="00BD6BAF">
      <w:pPr>
        <w:pStyle w:val="FHWASubtitle"/>
      </w:pPr>
      <w:r>
        <w:t xml:space="preserve">Physical Security &amp; </w:t>
      </w:r>
      <w:r w:rsidR="00BD6BAF" w:rsidRPr="00E77BBB">
        <w:t>Cybersecurity</w:t>
      </w:r>
      <w:r w:rsidR="003B3290" w:rsidRPr="00B44681">
        <w:rPr>
          <w:color w:val="auto"/>
        </w:rPr>
        <w:t xml:space="preserve"> </w:t>
      </w:r>
    </w:p>
    <w:p w14:paraId="07EC53E2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15A8A922" w14:textId="77777777" w:rsidR="004D1AD8" w:rsidRDefault="004D1AD8" w:rsidP="0009024C"/>
    <w:p w14:paraId="2F9337F4" w14:textId="3D4122A3" w:rsidR="00107C73" w:rsidRPr="00E77BBB" w:rsidRDefault="00877A59" w:rsidP="003620DF">
      <w:pPr>
        <w:pStyle w:val="FHWASubtitle"/>
      </w:pPr>
      <w:r w:rsidRPr="00E77BBB">
        <w:t>Program Evaluation</w:t>
      </w:r>
      <w:r w:rsidR="00107C73" w:rsidRPr="00E77BBB">
        <w:t xml:space="preserve"> </w:t>
      </w:r>
      <w:bookmarkEnd w:id="9"/>
    </w:p>
    <w:p w14:paraId="13C0A0A5" w14:textId="77777777" w:rsidR="00E77CFA" w:rsidRPr="00B82049" w:rsidRDefault="00E77CFA" w:rsidP="00E77CFA">
      <w:pPr>
        <w:rPr>
          <w:color w:val="FF0000"/>
        </w:rPr>
      </w:pPr>
      <w:r w:rsidRPr="00185B9B">
        <w:t>&lt;</w:t>
      </w:r>
      <w:r>
        <w:rPr>
          <w:i/>
          <w:iCs/>
        </w:rPr>
        <w:t>UPDATES ONLY</w:t>
      </w:r>
      <w:r w:rsidRPr="00F80572">
        <w:rPr>
          <w:i/>
          <w:iCs/>
        </w:rPr>
        <w:t>&gt;</w:t>
      </w:r>
    </w:p>
    <w:p w14:paraId="5A4BC7D3" w14:textId="77777777" w:rsidR="00807E1A" w:rsidRPr="00255B10" w:rsidRDefault="00807E1A" w:rsidP="00BD76FC">
      <w:pPr>
        <w:rPr>
          <w:b/>
          <w:bCs/>
          <w:i/>
          <w:iCs/>
        </w:rPr>
      </w:pPr>
    </w:p>
    <w:p w14:paraId="00FED5B7" w14:textId="516CF359" w:rsidR="00A47DAE" w:rsidRPr="00E77BBB" w:rsidRDefault="00BD6BAF" w:rsidP="000934D2">
      <w:pPr>
        <w:pStyle w:val="FHWASubtitle"/>
      </w:pPr>
      <w:bookmarkStart w:id="10" w:name="_Toc90022595"/>
      <w:r w:rsidRPr="00E77BBB">
        <w:t>Discretionary Exceptions</w:t>
      </w:r>
      <w:r w:rsidR="00A47DAE" w:rsidRPr="00E77BBB">
        <w:t xml:space="preserve"> </w:t>
      </w:r>
      <w:bookmarkEnd w:id="10"/>
      <w:r w:rsidR="00B80A60" w:rsidRPr="00B44681">
        <w:rPr>
          <w:color w:val="auto"/>
          <w:sz w:val="24"/>
          <w:szCs w:val="24"/>
        </w:rPr>
        <w:t xml:space="preserve">[if </w:t>
      </w:r>
      <w:r w:rsidR="00B80A60">
        <w:rPr>
          <w:color w:val="auto"/>
          <w:sz w:val="24"/>
          <w:szCs w:val="24"/>
        </w:rPr>
        <w:t>any</w:t>
      </w:r>
      <w:r w:rsidR="00B80A60" w:rsidRPr="00B44681">
        <w:rPr>
          <w:color w:val="auto"/>
          <w:sz w:val="24"/>
          <w:szCs w:val="24"/>
        </w:rPr>
        <w:t>]</w:t>
      </w:r>
      <w:r w:rsidR="00B80A60" w:rsidRPr="00E77BBB" w:rsidDel="00B80A60">
        <w:t xml:space="preserve"> </w:t>
      </w:r>
    </w:p>
    <w:p w14:paraId="75AC5426" w14:textId="673F1D7D" w:rsidR="00B870EB" w:rsidRPr="00B870EB" w:rsidRDefault="00B870EB" w:rsidP="00B870EB">
      <w:pPr>
        <w:rPr>
          <w:color w:val="FF0000"/>
          <w:highlight w:val="yellow"/>
        </w:rPr>
      </w:pPr>
      <w:r w:rsidRPr="007371F5">
        <w:t>&lt;</w:t>
      </w:r>
      <w:r w:rsidR="00BD6BAF" w:rsidRPr="007371F5">
        <w:t>Identify and support the need for any requested exceptions, if applicable</w:t>
      </w:r>
      <w:r w:rsidR="005C7638">
        <w:t xml:space="preserve">, from the </w:t>
      </w:r>
      <w:r w:rsidR="0072697A">
        <w:t xml:space="preserve">geographic </w:t>
      </w:r>
      <w:r w:rsidR="005C7638">
        <w:t>requirement</w:t>
      </w:r>
      <w:r w:rsidR="0072697A">
        <w:t>s</w:t>
      </w:r>
      <w:r w:rsidR="005C7638">
        <w:t xml:space="preserve"> that charging infrastructure is installed every 50 </w:t>
      </w:r>
      <w:r w:rsidR="002D71DE">
        <w:t>mile</w:t>
      </w:r>
      <w:r w:rsidR="005C7638">
        <w:t xml:space="preserve">s along that State’s </w:t>
      </w:r>
      <w:r w:rsidR="007D0754">
        <w:t>designated electric vehicle alternative fueling corridors</w:t>
      </w:r>
      <w:r w:rsidR="001C14C0">
        <w:t xml:space="preserve"> and</w:t>
      </w:r>
      <w:r w:rsidR="005C7638">
        <w:t xml:space="preserve"> within 1 travel mile of the </w:t>
      </w:r>
      <w:r w:rsidR="0099507B">
        <w:t>corridor</w:t>
      </w:r>
      <w:r w:rsidRPr="007371F5">
        <w:t>.&gt;</w:t>
      </w:r>
    </w:p>
    <w:p w14:paraId="60608ECF" w14:textId="77777777" w:rsidR="004D5F1A" w:rsidRDefault="004D5F1A" w:rsidP="00BD76FC">
      <w:pPr>
        <w:pStyle w:val="FHWASubtitle"/>
      </w:pPr>
      <w:bookmarkStart w:id="11" w:name="_Toc90022597"/>
    </w:p>
    <w:p w14:paraId="0F3DA673" w14:textId="558EBFCA" w:rsidR="00A47DAE" w:rsidRPr="00E77BBB" w:rsidRDefault="00A47DAE" w:rsidP="00BD76FC">
      <w:pPr>
        <w:pStyle w:val="FHWASubtitle"/>
      </w:pPr>
      <w:r w:rsidRPr="00E77BBB">
        <w:t xml:space="preserve">Appendix </w:t>
      </w:r>
      <w:r w:rsidR="0045251D" w:rsidRPr="00E77BBB">
        <w:t>A</w:t>
      </w:r>
      <w:r w:rsidRPr="00E77BBB">
        <w:t xml:space="preserve">: Supporting Materials </w:t>
      </w:r>
      <w:r w:rsidR="00B80A60" w:rsidRPr="00B44681">
        <w:rPr>
          <w:color w:val="auto"/>
          <w:sz w:val="24"/>
          <w:szCs w:val="24"/>
        </w:rPr>
        <w:t>[if applicable]</w:t>
      </w:r>
      <w:r w:rsidR="00B80A60" w:rsidRPr="00E77BBB" w:rsidDel="00B80A60">
        <w:t xml:space="preserve"> </w:t>
      </w:r>
      <w:bookmarkEnd w:id="11"/>
    </w:p>
    <w:p w14:paraId="299082EC" w14:textId="7B525085" w:rsidR="000934D2" w:rsidRDefault="000934D2" w:rsidP="004D5F1A">
      <w:pPr>
        <w:widowControl/>
        <w:autoSpaceDE/>
        <w:autoSpaceDN/>
        <w:spacing w:after="160" w:line="259" w:lineRule="auto"/>
        <w:rPr>
          <w:rFonts w:ascii="Calibri" w:hAnsi="Calibri" w:cs="Calibri"/>
          <w:color w:val="194178"/>
          <w:sz w:val="44"/>
          <w:szCs w:val="44"/>
        </w:rPr>
      </w:pPr>
    </w:p>
    <w:sectPr w:rsidR="000934D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08ED" w14:textId="77777777" w:rsidR="00C936EA" w:rsidRDefault="00C936EA" w:rsidP="00107C73">
      <w:r>
        <w:separator/>
      </w:r>
    </w:p>
  </w:endnote>
  <w:endnote w:type="continuationSeparator" w:id="0">
    <w:p w14:paraId="69F1EDA1" w14:textId="77777777" w:rsidR="00C936EA" w:rsidRDefault="00C936EA" w:rsidP="00107C73">
      <w:r>
        <w:continuationSeparator/>
      </w:r>
    </w:p>
  </w:endnote>
  <w:endnote w:type="continuationNotice" w:id="1">
    <w:p w14:paraId="14003EA3" w14:textId="77777777" w:rsidR="00C936EA" w:rsidRDefault="00C9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153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831B5" w14:textId="2946573E" w:rsidR="00457C19" w:rsidRDefault="00457C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6E280" w14:textId="2CD689FA" w:rsidR="00DD543C" w:rsidRDefault="00DD543C" w:rsidP="00BD76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5D44" w14:textId="77777777" w:rsidR="00C936EA" w:rsidRDefault="00C936EA" w:rsidP="00107C73">
      <w:r>
        <w:separator/>
      </w:r>
    </w:p>
  </w:footnote>
  <w:footnote w:type="continuationSeparator" w:id="0">
    <w:p w14:paraId="299C5BB6" w14:textId="77777777" w:rsidR="00C936EA" w:rsidRDefault="00C936EA" w:rsidP="00107C73">
      <w:r>
        <w:continuationSeparator/>
      </w:r>
    </w:p>
  </w:footnote>
  <w:footnote w:type="continuationNotice" w:id="1">
    <w:p w14:paraId="6A5D40B0" w14:textId="77777777" w:rsidR="00C936EA" w:rsidRDefault="00C93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EBD"/>
    <w:multiLevelType w:val="hybridMultilevel"/>
    <w:tmpl w:val="76E0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64B8"/>
    <w:multiLevelType w:val="hybridMultilevel"/>
    <w:tmpl w:val="5DF2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919"/>
    <w:multiLevelType w:val="hybridMultilevel"/>
    <w:tmpl w:val="37EE0852"/>
    <w:lvl w:ilvl="0" w:tplc="2FA2D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883"/>
    <w:multiLevelType w:val="hybridMultilevel"/>
    <w:tmpl w:val="0362FFEC"/>
    <w:lvl w:ilvl="0" w:tplc="3CB66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4B1"/>
    <w:multiLevelType w:val="hybridMultilevel"/>
    <w:tmpl w:val="427C11AC"/>
    <w:lvl w:ilvl="0" w:tplc="3CB66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B5FA9"/>
    <w:multiLevelType w:val="hybridMultilevel"/>
    <w:tmpl w:val="2B024CCE"/>
    <w:lvl w:ilvl="0" w:tplc="CC6AB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7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04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E3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EC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2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E0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62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E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435AA"/>
    <w:multiLevelType w:val="hybridMultilevel"/>
    <w:tmpl w:val="D234BAD0"/>
    <w:lvl w:ilvl="0" w:tplc="B236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15878"/>
    <w:multiLevelType w:val="hybridMultilevel"/>
    <w:tmpl w:val="31F038D2"/>
    <w:lvl w:ilvl="0" w:tplc="58A8B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73AE"/>
    <w:multiLevelType w:val="hybridMultilevel"/>
    <w:tmpl w:val="776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304C7"/>
    <w:multiLevelType w:val="hybridMultilevel"/>
    <w:tmpl w:val="C8B8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4C8"/>
    <w:multiLevelType w:val="hybridMultilevel"/>
    <w:tmpl w:val="75B4DE14"/>
    <w:lvl w:ilvl="0" w:tplc="A8C04B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EA6765"/>
    <w:multiLevelType w:val="hybridMultilevel"/>
    <w:tmpl w:val="42227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E34133"/>
    <w:multiLevelType w:val="hybridMultilevel"/>
    <w:tmpl w:val="CADA9EB6"/>
    <w:lvl w:ilvl="0" w:tplc="0602DA3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26F8"/>
    <w:multiLevelType w:val="hybridMultilevel"/>
    <w:tmpl w:val="AD622DC8"/>
    <w:lvl w:ilvl="0" w:tplc="C694CE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2B6A"/>
    <w:multiLevelType w:val="hybridMultilevel"/>
    <w:tmpl w:val="5BC0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971D7"/>
    <w:multiLevelType w:val="hybridMultilevel"/>
    <w:tmpl w:val="BF0E0A14"/>
    <w:lvl w:ilvl="0" w:tplc="19BA4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397C"/>
    <w:multiLevelType w:val="hybridMultilevel"/>
    <w:tmpl w:val="D97867D2"/>
    <w:lvl w:ilvl="0" w:tplc="9318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D2565"/>
    <w:multiLevelType w:val="hybridMultilevel"/>
    <w:tmpl w:val="9CE0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E0711"/>
    <w:multiLevelType w:val="hybridMultilevel"/>
    <w:tmpl w:val="6F2C5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1C0F87"/>
    <w:multiLevelType w:val="hybridMultilevel"/>
    <w:tmpl w:val="88ACA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B6898"/>
    <w:multiLevelType w:val="hybridMultilevel"/>
    <w:tmpl w:val="8F1A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96E91"/>
    <w:multiLevelType w:val="hybridMultilevel"/>
    <w:tmpl w:val="CB7CDF18"/>
    <w:lvl w:ilvl="0" w:tplc="18D402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F57BF"/>
    <w:multiLevelType w:val="hybridMultilevel"/>
    <w:tmpl w:val="E50A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965D8D"/>
    <w:multiLevelType w:val="hybridMultilevel"/>
    <w:tmpl w:val="494C6A4A"/>
    <w:lvl w:ilvl="0" w:tplc="B236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1388C"/>
    <w:multiLevelType w:val="hybridMultilevel"/>
    <w:tmpl w:val="A4302FA2"/>
    <w:lvl w:ilvl="0" w:tplc="19BA4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70BB2"/>
    <w:multiLevelType w:val="hybridMultilevel"/>
    <w:tmpl w:val="B230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87F68"/>
    <w:multiLevelType w:val="hybridMultilevel"/>
    <w:tmpl w:val="1DD25DB2"/>
    <w:lvl w:ilvl="0" w:tplc="F29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6C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0D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6C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61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89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C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2A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835A8"/>
    <w:multiLevelType w:val="hybridMultilevel"/>
    <w:tmpl w:val="1348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443C9"/>
    <w:multiLevelType w:val="hybridMultilevel"/>
    <w:tmpl w:val="9092A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894B7C"/>
    <w:multiLevelType w:val="hybridMultilevel"/>
    <w:tmpl w:val="22D8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01C77"/>
    <w:multiLevelType w:val="hybridMultilevel"/>
    <w:tmpl w:val="7370F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A23D71"/>
    <w:multiLevelType w:val="hybridMultilevel"/>
    <w:tmpl w:val="7FC416EC"/>
    <w:lvl w:ilvl="0" w:tplc="70D04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42E84"/>
    <w:multiLevelType w:val="hybridMultilevel"/>
    <w:tmpl w:val="8C180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FA1280"/>
    <w:multiLevelType w:val="hybridMultilevel"/>
    <w:tmpl w:val="55F88EF2"/>
    <w:lvl w:ilvl="0" w:tplc="A8C04B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63101"/>
    <w:multiLevelType w:val="hybridMultilevel"/>
    <w:tmpl w:val="704ED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7105FE"/>
    <w:multiLevelType w:val="hybridMultilevel"/>
    <w:tmpl w:val="3930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47635"/>
    <w:multiLevelType w:val="hybridMultilevel"/>
    <w:tmpl w:val="2726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6B04"/>
    <w:multiLevelType w:val="hybridMultilevel"/>
    <w:tmpl w:val="23CA62A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F08D87"/>
    <w:multiLevelType w:val="hybridMultilevel"/>
    <w:tmpl w:val="FFFFFFFF"/>
    <w:lvl w:ilvl="0" w:tplc="1A626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A11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A0D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1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C4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E3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43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62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B1C32"/>
    <w:multiLevelType w:val="hybridMultilevel"/>
    <w:tmpl w:val="E7CC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A2924"/>
    <w:multiLevelType w:val="hybridMultilevel"/>
    <w:tmpl w:val="04E6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C40A50"/>
    <w:multiLevelType w:val="hybridMultilevel"/>
    <w:tmpl w:val="1A8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6025">
    <w:abstractNumId w:val="19"/>
  </w:num>
  <w:num w:numId="2" w16cid:durableId="2075156900">
    <w:abstractNumId w:val="37"/>
  </w:num>
  <w:num w:numId="3" w16cid:durableId="1062797376">
    <w:abstractNumId w:val="28"/>
  </w:num>
  <w:num w:numId="4" w16cid:durableId="504394765">
    <w:abstractNumId w:val="32"/>
  </w:num>
  <w:num w:numId="5" w16cid:durableId="593787908">
    <w:abstractNumId w:val="18"/>
  </w:num>
  <w:num w:numId="6" w16cid:durableId="1137798167">
    <w:abstractNumId w:val="30"/>
  </w:num>
  <w:num w:numId="7" w16cid:durableId="922907744">
    <w:abstractNumId w:val="40"/>
  </w:num>
  <w:num w:numId="8" w16cid:durableId="1886600463">
    <w:abstractNumId w:val="14"/>
  </w:num>
  <w:num w:numId="9" w16cid:durableId="667365421">
    <w:abstractNumId w:val="22"/>
  </w:num>
  <w:num w:numId="10" w16cid:durableId="151534580">
    <w:abstractNumId w:val="34"/>
  </w:num>
  <w:num w:numId="11" w16cid:durableId="382101010">
    <w:abstractNumId w:val="36"/>
  </w:num>
  <w:num w:numId="12" w16cid:durableId="1425806889">
    <w:abstractNumId w:val="4"/>
  </w:num>
  <w:num w:numId="13" w16cid:durableId="1326545073">
    <w:abstractNumId w:val="3"/>
  </w:num>
  <w:num w:numId="14" w16cid:durableId="971714639">
    <w:abstractNumId w:val="35"/>
  </w:num>
  <w:num w:numId="15" w16cid:durableId="137722542">
    <w:abstractNumId w:val="13"/>
  </w:num>
  <w:num w:numId="16" w16cid:durableId="2011331286">
    <w:abstractNumId w:val="24"/>
  </w:num>
  <w:num w:numId="17" w16cid:durableId="454448886">
    <w:abstractNumId w:val="15"/>
  </w:num>
  <w:num w:numId="18" w16cid:durableId="733046754">
    <w:abstractNumId w:val="8"/>
  </w:num>
  <w:num w:numId="19" w16cid:durableId="2025206029">
    <w:abstractNumId w:val="25"/>
  </w:num>
  <w:num w:numId="20" w16cid:durableId="1985573990">
    <w:abstractNumId w:val="39"/>
  </w:num>
  <w:num w:numId="21" w16cid:durableId="214124670">
    <w:abstractNumId w:val="27"/>
  </w:num>
  <w:num w:numId="22" w16cid:durableId="1156191580">
    <w:abstractNumId w:val="6"/>
  </w:num>
  <w:num w:numId="23" w16cid:durableId="1368602862">
    <w:abstractNumId w:val="23"/>
  </w:num>
  <w:num w:numId="24" w16cid:durableId="123164047">
    <w:abstractNumId w:val="9"/>
  </w:num>
  <w:num w:numId="25" w16cid:durableId="727730555">
    <w:abstractNumId w:val="31"/>
  </w:num>
  <w:num w:numId="26" w16cid:durableId="93064544">
    <w:abstractNumId w:val="16"/>
  </w:num>
  <w:num w:numId="27" w16cid:durableId="1060330120">
    <w:abstractNumId w:val="5"/>
  </w:num>
  <w:num w:numId="28" w16cid:durableId="280652520">
    <w:abstractNumId w:val="7"/>
  </w:num>
  <w:num w:numId="29" w16cid:durableId="698631311">
    <w:abstractNumId w:val="41"/>
  </w:num>
  <w:num w:numId="30" w16cid:durableId="1520192274">
    <w:abstractNumId w:val="0"/>
  </w:num>
  <w:num w:numId="31" w16cid:durableId="1985701038">
    <w:abstractNumId w:val="2"/>
  </w:num>
  <w:num w:numId="32" w16cid:durableId="745996622">
    <w:abstractNumId w:val="33"/>
  </w:num>
  <w:num w:numId="33" w16cid:durableId="458689285">
    <w:abstractNumId w:val="10"/>
  </w:num>
  <w:num w:numId="34" w16cid:durableId="1379743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094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1720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3293422">
    <w:abstractNumId w:val="1"/>
  </w:num>
  <w:num w:numId="38" w16cid:durableId="475267472">
    <w:abstractNumId w:val="38"/>
  </w:num>
  <w:num w:numId="39" w16cid:durableId="1570308588">
    <w:abstractNumId w:val="29"/>
  </w:num>
  <w:num w:numId="40" w16cid:durableId="2053725965">
    <w:abstractNumId w:val="17"/>
  </w:num>
  <w:num w:numId="41" w16cid:durableId="1605570257">
    <w:abstractNumId w:val="20"/>
  </w:num>
  <w:num w:numId="42" w16cid:durableId="13880724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3"/>
    <w:rsid w:val="000018A7"/>
    <w:rsid w:val="00001FDD"/>
    <w:rsid w:val="000039B3"/>
    <w:rsid w:val="00003E1A"/>
    <w:rsid w:val="00003E91"/>
    <w:rsid w:val="000052D2"/>
    <w:rsid w:val="00007E50"/>
    <w:rsid w:val="00011031"/>
    <w:rsid w:val="00011E42"/>
    <w:rsid w:val="0001311D"/>
    <w:rsid w:val="0002054F"/>
    <w:rsid w:val="00026815"/>
    <w:rsid w:val="00030426"/>
    <w:rsid w:val="000305F2"/>
    <w:rsid w:val="0004010F"/>
    <w:rsid w:val="00045384"/>
    <w:rsid w:val="00045B93"/>
    <w:rsid w:val="00053DAB"/>
    <w:rsid w:val="00054413"/>
    <w:rsid w:val="000576B0"/>
    <w:rsid w:val="000578FD"/>
    <w:rsid w:val="000679D2"/>
    <w:rsid w:val="000738F3"/>
    <w:rsid w:val="00073D3B"/>
    <w:rsid w:val="00074370"/>
    <w:rsid w:val="000857FF"/>
    <w:rsid w:val="000868AB"/>
    <w:rsid w:val="0009024C"/>
    <w:rsid w:val="000934D2"/>
    <w:rsid w:val="000A4D46"/>
    <w:rsid w:val="000A5365"/>
    <w:rsid w:val="000C4087"/>
    <w:rsid w:val="000C5514"/>
    <w:rsid w:val="000D1FBB"/>
    <w:rsid w:val="000D5B4D"/>
    <w:rsid w:val="000E2A24"/>
    <w:rsid w:val="000E3689"/>
    <w:rsid w:val="000F11D0"/>
    <w:rsid w:val="000F31C7"/>
    <w:rsid w:val="000F4874"/>
    <w:rsid w:val="001001B0"/>
    <w:rsid w:val="00100AA2"/>
    <w:rsid w:val="00103C05"/>
    <w:rsid w:val="0010721C"/>
    <w:rsid w:val="00107C73"/>
    <w:rsid w:val="00112DF4"/>
    <w:rsid w:val="00113A26"/>
    <w:rsid w:val="001156BF"/>
    <w:rsid w:val="00121246"/>
    <w:rsid w:val="001223AA"/>
    <w:rsid w:val="00125CAF"/>
    <w:rsid w:val="00132B07"/>
    <w:rsid w:val="00147C53"/>
    <w:rsid w:val="0016468C"/>
    <w:rsid w:val="001658D3"/>
    <w:rsid w:val="00166FC5"/>
    <w:rsid w:val="00170F7B"/>
    <w:rsid w:val="00175D4E"/>
    <w:rsid w:val="00177625"/>
    <w:rsid w:val="00177626"/>
    <w:rsid w:val="00180403"/>
    <w:rsid w:val="001806E2"/>
    <w:rsid w:val="00183DCE"/>
    <w:rsid w:val="00185B9B"/>
    <w:rsid w:val="00186708"/>
    <w:rsid w:val="00187816"/>
    <w:rsid w:val="00196CCC"/>
    <w:rsid w:val="001A04D8"/>
    <w:rsid w:val="001B0F80"/>
    <w:rsid w:val="001B630E"/>
    <w:rsid w:val="001C003F"/>
    <w:rsid w:val="001C14C0"/>
    <w:rsid w:val="001C1CD1"/>
    <w:rsid w:val="001C597D"/>
    <w:rsid w:val="001D3B99"/>
    <w:rsid w:val="001D5AC7"/>
    <w:rsid w:val="001D6760"/>
    <w:rsid w:val="001E1D5E"/>
    <w:rsid w:val="001E1EC4"/>
    <w:rsid w:val="001E47D8"/>
    <w:rsid w:val="001F23B8"/>
    <w:rsid w:val="001F3CE4"/>
    <w:rsid w:val="00201595"/>
    <w:rsid w:val="0020641F"/>
    <w:rsid w:val="002121DC"/>
    <w:rsid w:val="00215325"/>
    <w:rsid w:val="0021651A"/>
    <w:rsid w:val="00217241"/>
    <w:rsid w:val="0022014F"/>
    <w:rsid w:val="00222394"/>
    <w:rsid w:val="002231D7"/>
    <w:rsid w:val="00230E14"/>
    <w:rsid w:val="00236FA7"/>
    <w:rsid w:val="0024716A"/>
    <w:rsid w:val="00250891"/>
    <w:rsid w:val="00251D8F"/>
    <w:rsid w:val="00256C42"/>
    <w:rsid w:val="00261075"/>
    <w:rsid w:val="002615FA"/>
    <w:rsid w:val="00261A28"/>
    <w:rsid w:val="00275FD7"/>
    <w:rsid w:val="0028273A"/>
    <w:rsid w:val="00283C8E"/>
    <w:rsid w:val="002867EC"/>
    <w:rsid w:val="00287F2E"/>
    <w:rsid w:val="0029001A"/>
    <w:rsid w:val="00290A5B"/>
    <w:rsid w:val="00292740"/>
    <w:rsid w:val="00294386"/>
    <w:rsid w:val="002970F7"/>
    <w:rsid w:val="002B3960"/>
    <w:rsid w:val="002C7494"/>
    <w:rsid w:val="002D2C69"/>
    <w:rsid w:val="002D71DE"/>
    <w:rsid w:val="002E04D4"/>
    <w:rsid w:val="002E2B74"/>
    <w:rsid w:val="002F082B"/>
    <w:rsid w:val="00300C43"/>
    <w:rsid w:val="00301306"/>
    <w:rsid w:val="003033AB"/>
    <w:rsid w:val="0030360D"/>
    <w:rsid w:val="00307AB7"/>
    <w:rsid w:val="00315671"/>
    <w:rsid w:val="003171BE"/>
    <w:rsid w:val="00326F3C"/>
    <w:rsid w:val="00327078"/>
    <w:rsid w:val="00327501"/>
    <w:rsid w:val="003329C1"/>
    <w:rsid w:val="00333137"/>
    <w:rsid w:val="00335DBE"/>
    <w:rsid w:val="00341454"/>
    <w:rsid w:val="00341910"/>
    <w:rsid w:val="003431CC"/>
    <w:rsid w:val="003504FB"/>
    <w:rsid w:val="00350B1E"/>
    <w:rsid w:val="0035105C"/>
    <w:rsid w:val="0035269B"/>
    <w:rsid w:val="00353E5F"/>
    <w:rsid w:val="00354B0A"/>
    <w:rsid w:val="00355265"/>
    <w:rsid w:val="0036031F"/>
    <w:rsid w:val="0036060A"/>
    <w:rsid w:val="003620DF"/>
    <w:rsid w:val="00364998"/>
    <w:rsid w:val="00366563"/>
    <w:rsid w:val="00376419"/>
    <w:rsid w:val="00381F1A"/>
    <w:rsid w:val="00383632"/>
    <w:rsid w:val="003849D9"/>
    <w:rsid w:val="00384CDC"/>
    <w:rsid w:val="003931D9"/>
    <w:rsid w:val="0039377A"/>
    <w:rsid w:val="00394504"/>
    <w:rsid w:val="00394D99"/>
    <w:rsid w:val="00396410"/>
    <w:rsid w:val="003A2DDB"/>
    <w:rsid w:val="003A424E"/>
    <w:rsid w:val="003A6F23"/>
    <w:rsid w:val="003B172F"/>
    <w:rsid w:val="003B3290"/>
    <w:rsid w:val="003C1ECE"/>
    <w:rsid w:val="003C2E10"/>
    <w:rsid w:val="003C4BCB"/>
    <w:rsid w:val="003C787D"/>
    <w:rsid w:val="003D07E7"/>
    <w:rsid w:val="003D2BB7"/>
    <w:rsid w:val="003D3325"/>
    <w:rsid w:val="003E0756"/>
    <w:rsid w:val="003E12A4"/>
    <w:rsid w:val="003E1490"/>
    <w:rsid w:val="003E2FD8"/>
    <w:rsid w:val="003E66D8"/>
    <w:rsid w:val="003F43B1"/>
    <w:rsid w:val="003F674C"/>
    <w:rsid w:val="00400474"/>
    <w:rsid w:val="00400755"/>
    <w:rsid w:val="00402E84"/>
    <w:rsid w:val="0040432E"/>
    <w:rsid w:val="004108D7"/>
    <w:rsid w:val="00431810"/>
    <w:rsid w:val="00431954"/>
    <w:rsid w:val="00434E94"/>
    <w:rsid w:val="00436792"/>
    <w:rsid w:val="00437F2B"/>
    <w:rsid w:val="004441E9"/>
    <w:rsid w:val="00445CC9"/>
    <w:rsid w:val="0045251D"/>
    <w:rsid w:val="00457C19"/>
    <w:rsid w:val="00457CA4"/>
    <w:rsid w:val="00463AFF"/>
    <w:rsid w:val="00465A57"/>
    <w:rsid w:val="004710E2"/>
    <w:rsid w:val="00472DEA"/>
    <w:rsid w:val="00472F99"/>
    <w:rsid w:val="00475212"/>
    <w:rsid w:val="00475815"/>
    <w:rsid w:val="00480370"/>
    <w:rsid w:val="004861C2"/>
    <w:rsid w:val="00486613"/>
    <w:rsid w:val="004A09ED"/>
    <w:rsid w:val="004A56FC"/>
    <w:rsid w:val="004A585B"/>
    <w:rsid w:val="004B20BC"/>
    <w:rsid w:val="004B547D"/>
    <w:rsid w:val="004B5B2D"/>
    <w:rsid w:val="004C5F27"/>
    <w:rsid w:val="004D15CC"/>
    <w:rsid w:val="004D1AD8"/>
    <w:rsid w:val="004D3D5B"/>
    <w:rsid w:val="004D3FE7"/>
    <w:rsid w:val="004D411E"/>
    <w:rsid w:val="004D4AB5"/>
    <w:rsid w:val="004D5F1A"/>
    <w:rsid w:val="004D7549"/>
    <w:rsid w:val="004E1B57"/>
    <w:rsid w:val="004E1ED8"/>
    <w:rsid w:val="004E3820"/>
    <w:rsid w:val="004F7FD3"/>
    <w:rsid w:val="00510A3B"/>
    <w:rsid w:val="0051238B"/>
    <w:rsid w:val="00524230"/>
    <w:rsid w:val="00531A33"/>
    <w:rsid w:val="005348B9"/>
    <w:rsid w:val="00535285"/>
    <w:rsid w:val="0054290E"/>
    <w:rsid w:val="0055220D"/>
    <w:rsid w:val="005571A0"/>
    <w:rsid w:val="005574B4"/>
    <w:rsid w:val="00560D71"/>
    <w:rsid w:val="00565C95"/>
    <w:rsid w:val="00566D89"/>
    <w:rsid w:val="00576D2E"/>
    <w:rsid w:val="00580769"/>
    <w:rsid w:val="00580C69"/>
    <w:rsid w:val="00581080"/>
    <w:rsid w:val="00582485"/>
    <w:rsid w:val="005916C0"/>
    <w:rsid w:val="00591DA8"/>
    <w:rsid w:val="005A11FF"/>
    <w:rsid w:val="005A2362"/>
    <w:rsid w:val="005A2EF9"/>
    <w:rsid w:val="005A60F8"/>
    <w:rsid w:val="005A6198"/>
    <w:rsid w:val="005B45D8"/>
    <w:rsid w:val="005B7467"/>
    <w:rsid w:val="005B7FE6"/>
    <w:rsid w:val="005C0700"/>
    <w:rsid w:val="005C1642"/>
    <w:rsid w:val="005C497D"/>
    <w:rsid w:val="005C5FE3"/>
    <w:rsid w:val="005C7638"/>
    <w:rsid w:val="005C78A9"/>
    <w:rsid w:val="005D3350"/>
    <w:rsid w:val="005E5142"/>
    <w:rsid w:val="005F0BAD"/>
    <w:rsid w:val="005F13C6"/>
    <w:rsid w:val="005F5C0B"/>
    <w:rsid w:val="005F64CC"/>
    <w:rsid w:val="005F6ECD"/>
    <w:rsid w:val="005F7549"/>
    <w:rsid w:val="006021EB"/>
    <w:rsid w:val="006073B7"/>
    <w:rsid w:val="00610448"/>
    <w:rsid w:val="00611EF1"/>
    <w:rsid w:val="0061236D"/>
    <w:rsid w:val="006135C6"/>
    <w:rsid w:val="00621C0F"/>
    <w:rsid w:val="00622224"/>
    <w:rsid w:val="00624714"/>
    <w:rsid w:val="00625A4C"/>
    <w:rsid w:val="00632641"/>
    <w:rsid w:val="00635D36"/>
    <w:rsid w:val="00641027"/>
    <w:rsid w:val="00650254"/>
    <w:rsid w:val="00650701"/>
    <w:rsid w:val="00650F86"/>
    <w:rsid w:val="00655258"/>
    <w:rsid w:val="006602BE"/>
    <w:rsid w:val="00672515"/>
    <w:rsid w:val="006845E9"/>
    <w:rsid w:val="006858CE"/>
    <w:rsid w:val="00690B17"/>
    <w:rsid w:val="00690D65"/>
    <w:rsid w:val="006A024E"/>
    <w:rsid w:val="006A0629"/>
    <w:rsid w:val="006A32CF"/>
    <w:rsid w:val="006B35B8"/>
    <w:rsid w:val="006B6493"/>
    <w:rsid w:val="006B7F00"/>
    <w:rsid w:val="006C46AF"/>
    <w:rsid w:val="006C55DC"/>
    <w:rsid w:val="006D308E"/>
    <w:rsid w:val="006D6030"/>
    <w:rsid w:val="006D7667"/>
    <w:rsid w:val="006E093F"/>
    <w:rsid w:val="006E096C"/>
    <w:rsid w:val="006E09ED"/>
    <w:rsid w:val="006E1237"/>
    <w:rsid w:val="006E538B"/>
    <w:rsid w:val="006E675D"/>
    <w:rsid w:val="006E703A"/>
    <w:rsid w:val="006F0D5A"/>
    <w:rsid w:val="006F29FC"/>
    <w:rsid w:val="00700742"/>
    <w:rsid w:val="007043AA"/>
    <w:rsid w:val="0070450C"/>
    <w:rsid w:val="00707870"/>
    <w:rsid w:val="00713579"/>
    <w:rsid w:val="00720153"/>
    <w:rsid w:val="007212F9"/>
    <w:rsid w:val="007251C7"/>
    <w:rsid w:val="0072697A"/>
    <w:rsid w:val="00733429"/>
    <w:rsid w:val="00734C5F"/>
    <w:rsid w:val="007371F5"/>
    <w:rsid w:val="00740721"/>
    <w:rsid w:val="00741EB8"/>
    <w:rsid w:val="007423F7"/>
    <w:rsid w:val="0074663F"/>
    <w:rsid w:val="00752CBD"/>
    <w:rsid w:val="00755789"/>
    <w:rsid w:val="00755A9B"/>
    <w:rsid w:val="0076221F"/>
    <w:rsid w:val="00763F79"/>
    <w:rsid w:val="007669AB"/>
    <w:rsid w:val="00771CA8"/>
    <w:rsid w:val="00777857"/>
    <w:rsid w:val="00777FC8"/>
    <w:rsid w:val="00783BAB"/>
    <w:rsid w:val="00786163"/>
    <w:rsid w:val="00786561"/>
    <w:rsid w:val="00793ECA"/>
    <w:rsid w:val="007974DD"/>
    <w:rsid w:val="007A2695"/>
    <w:rsid w:val="007A3037"/>
    <w:rsid w:val="007A4150"/>
    <w:rsid w:val="007B21BC"/>
    <w:rsid w:val="007B6B46"/>
    <w:rsid w:val="007C685B"/>
    <w:rsid w:val="007D0754"/>
    <w:rsid w:val="007D0DA2"/>
    <w:rsid w:val="007D2D78"/>
    <w:rsid w:val="007E3861"/>
    <w:rsid w:val="007E5FDC"/>
    <w:rsid w:val="007F53EA"/>
    <w:rsid w:val="007F5D6C"/>
    <w:rsid w:val="007F769B"/>
    <w:rsid w:val="007F7E1E"/>
    <w:rsid w:val="007F7FF9"/>
    <w:rsid w:val="008043F5"/>
    <w:rsid w:val="00807E1A"/>
    <w:rsid w:val="008132B8"/>
    <w:rsid w:val="008140B5"/>
    <w:rsid w:val="00823D93"/>
    <w:rsid w:val="00830C04"/>
    <w:rsid w:val="00834C7F"/>
    <w:rsid w:val="00847D01"/>
    <w:rsid w:val="00850E07"/>
    <w:rsid w:val="00854C81"/>
    <w:rsid w:val="00856E8A"/>
    <w:rsid w:val="008606B1"/>
    <w:rsid w:val="00862FE3"/>
    <w:rsid w:val="00877A59"/>
    <w:rsid w:val="00880301"/>
    <w:rsid w:val="00880685"/>
    <w:rsid w:val="00890474"/>
    <w:rsid w:val="008904A9"/>
    <w:rsid w:val="00891875"/>
    <w:rsid w:val="00891C5F"/>
    <w:rsid w:val="008A2CD9"/>
    <w:rsid w:val="008A3252"/>
    <w:rsid w:val="008A6044"/>
    <w:rsid w:val="008B086C"/>
    <w:rsid w:val="008B3645"/>
    <w:rsid w:val="008B5271"/>
    <w:rsid w:val="008C1CB3"/>
    <w:rsid w:val="008C3D8A"/>
    <w:rsid w:val="008D4A50"/>
    <w:rsid w:val="008D644F"/>
    <w:rsid w:val="008E1EFD"/>
    <w:rsid w:val="008E3F7C"/>
    <w:rsid w:val="008E4009"/>
    <w:rsid w:val="008E4202"/>
    <w:rsid w:val="008E4B39"/>
    <w:rsid w:val="008F0B39"/>
    <w:rsid w:val="008F1F0A"/>
    <w:rsid w:val="008F5552"/>
    <w:rsid w:val="008F7788"/>
    <w:rsid w:val="00900A7A"/>
    <w:rsid w:val="00903EEF"/>
    <w:rsid w:val="0091038B"/>
    <w:rsid w:val="0091095E"/>
    <w:rsid w:val="0091187C"/>
    <w:rsid w:val="00912C37"/>
    <w:rsid w:val="009142FF"/>
    <w:rsid w:val="00914583"/>
    <w:rsid w:val="00921936"/>
    <w:rsid w:val="00924EF6"/>
    <w:rsid w:val="00926DFE"/>
    <w:rsid w:val="009322E3"/>
    <w:rsid w:val="009328C0"/>
    <w:rsid w:val="0093585B"/>
    <w:rsid w:val="00944E90"/>
    <w:rsid w:val="0094704E"/>
    <w:rsid w:val="00947B11"/>
    <w:rsid w:val="00951253"/>
    <w:rsid w:val="0095134A"/>
    <w:rsid w:val="00951395"/>
    <w:rsid w:val="009517B2"/>
    <w:rsid w:val="009519D3"/>
    <w:rsid w:val="00951B8A"/>
    <w:rsid w:val="00951C49"/>
    <w:rsid w:val="00952AC0"/>
    <w:rsid w:val="00952E0A"/>
    <w:rsid w:val="00961F1C"/>
    <w:rsid w:val="0096757B"/>
    <w:rsid w:val="00971446"/>
    <w:rsid w:val="00972C3A"/>
    <w:rsid w:val="00977485"/>
    <w:rsid w:val="00984B57"/>
    <w:rsid w:val="0098709C"/>
    <w:rsid w:val="00987742"/>
    <w:rsid w:val="00994A42"/>
    <w:rsid w:val="0099507B"/>
    <w:rsid w:val="00996A48"/>
    <w:rsid w:val="009B160B"/>
    <w:rsid w:val="009B309D"/>
    <w:rsid w:val="009B3AC3"/>
    <w:rsid w:val="009B3C89"/>
    <w:rsid w:val="009C0957"/>
    <w:rsid w:val="009C1C22"/>
    <w:rsid w:val="009C6602"/>
    <w:rsid w:val="009C755F"/>
    <w:rsid w:val="009D0240"/>
    <w:rsid w:val="009D1F5D"/>
    <w:rsid w:val="009D6F9D"/>
    <w:rsid w:val="009D70BC"/>
    <w:rsid w:val="009E1D6C"/>
    <w:rsid w:val="009E7761"/>
    <w:rsid w:val="009E7F21"/>
    <w:rsid w:val="009F033F"/>
    <w:rsid w:val="009F0DE8"/>
    <w:rsid w:val="00A012AE"/>
    <w:rsid w:val="00A12EC2"/>
    <w:rsid w:val="00A142DA"/>
    <w:rsid w:val="00A14F3B"/>
    <w:rsid w:val="00A16A20"/>
    <w:rsid w:val="00A22FD7"/>
    <w:rsid w:val="00A23BB9"/>
    <w:rsid w:val="00A2529D"/>
    <w:rsid w:val="00A35019"/>
    <w:rsid w:val="00A364A9"/>
    <w:rsid w:val="00A37A3F"/>
    <w:rsid w:val="00A4251C"/>
    <w:rsid w:val="00A44CAA"/>
    <w:rsid w:val="00A47DAE"/>
    <w:rsid w:val="00A50706"/>
    <w:rsid w:val="00A515F5"/>
    <w:rsid w:val="00A5297A"/>
    <w:rsid w:val="00A53997"/>
    <w:rsid w:val="00A553CD"/>
    <w:rsid w:val="00A57830"/>
    <w:rsid w:val="00A6036B"/>
    <w:rsid w:val="00A62932"/>
    <w:rsid w:val="00A65EBD"/>
    <w:rsid w:val="00A71E28"/>
    <w:rsid w:val="00A7548F"/>
    <w:rsid w:val="00A8349B"/>
    <w:rsid w:val="00A9146C"/>
    <w:rsid w:val="00A91ED4"/>
    <w:rsid w:val="00A9367B"/>
    <w:rsid w:val="00A940D3"/>
    <w:rsid w:val="00A94F34"/>
    <w:rsid w:val="00A95A12"/>
    <w:rsid w:val="00A961C6"/>
    <w:rsid w:val="00A96CD8"/>
    <w:rsid w:val="00A97015"/>
    <w:rsid w:val="00AA347C"/>
    <w:rsid w:val="00AA51F7"/>
    <w:rsid w:val="00AA59AF"/>
    <w:rsid w:val="00AB0DB3"/>
    <w:rsid w:val="00AB1758"/>
    <w:rsid w:val="00AB24B7"/>
    <w:rsid w:val="00AB6EEF"/>
    <w:rsid w:val="00AB74A3"/>
    <w:rsid w:val="00AC012F"/>
    <w:rsid w:val="00AC3BD4"/>
    <w:rsid w:val="00AC4498"/>
    <w:rsid w:val="00AD066C"/>
    <w:rsid w:val="00AD7F80"/>
    <w:rsid w:val="00AF485D"/>
    <w:rsid w:val="00AF48D1"/>
    <w:rsid w:val="00AF50B3"/>
    <w:rsid w:val="00B1222D"/>
    <w:rsid w:val="00B12E8A"/>
    <w:rsid w:val="00B16C2B"/>
    <w:rsid w:val="00B16F72"/>
    <w:rsid w:val="00B23453"/>
    <w:rsid w:val="00B2624B"/>
    <w:rsid w:val="00B26CBD"/>
    <w:rsid w:val="00B273B8"/>
    <w:rsid w:val="00B305F0"/>
    <w:rsid w:val="00B3211F"/>
    <w:rsid w:val="00B32A28"/>
    <w:rsid w:val="00B34A1F"/>
    <w:rsid w:val="00B34B78"/>
    <w:rsid w:val="00B36B9C"/>
    <w:rsid w:val="00B43C56"/>
    <w:rsid w:val="00B44681"/>
    <w:rsid w:val="00B51125"/>
    <w:rsid w:val="00B54623"/>
    <w:rsid w:val="00B615B4"/>
    <w:rsid w:val="00B72C5C"/>
    <w:rsid w:val="00B80A60"/>
    <w:rsid w:val="00B82049"/>
    <w:rsid w:val="00B85F9D"/>
    <w:rsid w:val="00B86EBF"/>
    <w:rsid w:val="00B870EB"/>
    <w:rsid w:val="00B9087F"/>
    <w:rsid w:val="00B924AC"/>
    <w:rsid w:val="00B9329A"/>
    <w:rsid w:val="00B94B23"/>
    <w:rsid w:val="00B95CED"/>
    <w:rsid w:val="00B95DB6"/>
    <w:rsid w:val="00B97913"/>
    <w:rsid w:val="00BA2C9C"/>
    <w:rsid w:val="00BA587A"/>
    <w:rsid w:val="00BB3CFD"/>
    <w:rsid w:val="00BB68F2"/>
    <w:rsid w:val="00BC1986"/>
    <w:rsid w:val="00BC4D69"/>
    <w:rsid w:val="00BC7063"/>
    <w:rsid w:val="00BC7EB7"/>
    <w:rsid w:val="00BD1D4D"/>
    <w:rsid w:val="00BD4EB1"/>
    <w:rsid w:val="00BD6BAF"/>
    <w:rsid w:val="00BD76FC"/>
    <w:rsid w:val="00BE19BA"/>
    <w:rsid w:val="00BE7946"/>
    <w:rsid w:val="00BF3A7B"/>
    <w:rsid w:val="00BF796F"/>
    <w:rsid w:val="00C0367C"/>
    <w:rsid w:val="00C05F9D"/>
    <w:rsid w:val="00C0648E"/>
    <w:rsid w:val="00C154F6"/>
    <w:rsid w:val="00C157CE"/>
    <w:rsid w:val="00C168C1"/>
    <w:rsid w:val="00C16D79"/>
    <w:rsid w:val="00C22DE0"/>
    <w:rsid w:val="00C239D9"/>
    <w:rsid w:val="00C260EB"/>
    <w:rsid w:val="00C264B8"/>
    <w:rsid w:val="00C34B9C"/>
    <w:rsid w:val="00C36954"/>
    <w:rsid w:val="00C44DE3"/>
    <w:rsid w:val="00C5415C"/>
    <w:rsid w:val="00C5494C"/>
    <w:rsid w:val="00C5677F"/>
    <w:rsid w:val="00C60457"/>
    <w:rsid w:val="00C60DA2"/>
    <w:rsid w:val="00C64493"/>
    <w:rsid w:val="00C64D69"/>
    <w:rsid w:val="00C67BCB"/>
    <w:rsid w:val="00C722D2"/>
    <w:rsid w:val="00C7252B"/>
    <w:rsid w:val="00C83AAF"/>
    <w:rsid w:val="00C936EA"/>
    <w:rsid w:val="00C9646E"/>
    <w:rsid w:val="00CA04CF"/>
    <w:rsid w:val="00CA1967"/>
    <w:rsid w:val="00CB005B"/>
    <w:rsid w:val="00CB0BF8"/>
    <w:rsid w:val="00CC06E5"/>
    <w:rsid w:val="00CC65CC"/>
    <w:rsid w:val="00CD0E22"/>
    <w:rsid w:val="00CD3281"/>
    <w:rsid w:val="00CD5F6B"/>
    <w:rsid w:val="00CE6A35"/>
    <w:rsid w:val="00CF3068"/>
    <w:rsid w:val="00CF5736"/>
    <w:rsid w:val="00CF6A7D"/>
    <w:rsid w:val="00D00499"/>
    <w:rsid w:val="00D032E1"/>
    <w:rsid w:val="00D10481"/>
    <w:rsid w:val="00D106E8"/>
    <w:rsid w:val="00D108A6"/>
    <w:rsid w:val="00D13246"/>
    <w:rsid w:val="00D17ACD"/>
    <w:rsid w:val="00D2185D"/>
    <w:rsid w:val="00D234EE"/>
    <w:rsid w:val="00D245B4"/>
    <w:rsid w:val="00D25733"/>
    <w:rsid w:val="00D319F2"/>
    <w:rsid w:val="00D346EE"/>
    <w:rsid w:val="00D34CBD"/>
    <w:rsid w:val="00D34FB7"/>
    <w:rsid w:val="00D363FE"/>
    <w:rsid w:val="00D430D9"/>
    <w:rsid w:val="00D462D7"/>
    <w:rsid w:val="00D46E26"/>
    <w:rsid w:val="00D47007"/>
    <w:rsid w:val="00D47569"/>
    <w:rsid w:val="00D4757C"/>
    <w:rsid w:val="00D50CF3"/>
    <w:rsid w:val="00D52D34"/>
    <w:rsid w:val="00D61E5C"/>
    <w:rsid w:val="00D62171"/>
    <w:rsid w:val="00D623D6"/>
    <w:rsid w:val="00D62CCF"/>
    <w:rsid w:val="00D64240"/>
    <w:rsid w:val="00D65FDC"/>
    <w:rsid w:val="00D75E94"/>
    <w:rsid w:val="00D83541"/>
    <w:rsid w:val="00D8562B"/>
    <w:rsid w:val="00D85755"/>
    <w:rsid w:val="00D85EDF"/>
    <w:rsid w:val="00D8795F"/>
    <w:rsid w:val="00D92F53"/>
    <w:rsid w:val="00D930B7"/>
    <w:rsid w:val="00D96774"/>
    <w:rsid w:val="00D97069"/>
    <w:rsid w:val="00DA71A8"/>
    <w:rsid w:val="00DB0CF9"/>
    <w:rsid w:val="00DB1757"/>
    <w:rsid w:val="00DB750B"/>
    <w:rsid w:val="00DC1D97"/>
    <w:rsid w:val="00DD543C"/>
    <w:rsid w:val="00DD7E0D"/>
    <w:rsid w:val="00DE112B"/>
    <w:rsid w:val="00DE1F07"/>
    <w:rsid w:val="00DE287D"/>
    <w:rsid w:val="00DE557F"/>
    <w:rsid w:val="00DE6661"/>
    <w:rsid w:val="00DE6AC5"/>
    <w:rsid w:val="00DF0BFF"/>
    <w:rsid w:val="00DF1495"/>
    <w:rsid w:val="00DF2CEC"/>
    <w:rsid w:val="00DF3CDC"/>
    <w:rsid w:val="00DF60EF"/>
    <w:rsid w:val="00E021E8"/>
    <w:rsid w:val="00E11EE2"/>
    <w:rsid w:val="00E25176"/>
    <w:rsid w:val="00E318DD"/>
    <w:rsid w:val="00E31969"/>
    <w:rsid w:val="00E3687C"/>
    <w:rsid w:val="00E4033B"/>
    <w:rsid w:val="00E42AE7"/>
    <w:rsid w:val="00E433F2"/>
    <w:rsid w:val="00E43CB0"/>
    <w:rsid w:val="00E4552F"/>
    <w:rsid w:val="00E53A22"/>
    <w:rsid w:val="00E543CD"/>
    <w:rsid w:val="00E551CC"/>
    <w:rsid w:val="00E62A18"/>
    <w:rsid w:val="00E70D08"/>
    <w:rsid w:val="00E777AB"/>
    <w:rsid w:val="00E77BBB"/>
    <w:rsid w:val="00E77CFA"/>
    <w:rsid w:val="00E815C1"/>
    <w:rsid w:val="00E84805"/>
    <w:rsid w:val="00E84CAC"/>
    <w:rsid w:val="00E93AFB"/>
    <w:rsid w:val="00EB2C3A"/>
    <w:rsid w:val="00EB3B66"/>
    <w:rsid w:val="00EB46E7"/>
    <w:rsid w:val="00EB6A04"/>
    <w:rsid w:val="00EC4A30"/>
    <w:rsid w:val="00EC61D7"/>
    <w:rsid w:val="00ED12BC"/>
    <w:rsid w:val="00ED21AA"/>
    <w:rsid w:val="00ED4811"/>
    <w:rsid w:val="00ED733B"/>
    <w:rsid w:val="00EE1895"/>
    <w:rsid w:val="00EE1BF9"/>
    <w:rsid w:val="00EE2512"/>
    <w:rsid w:val="00EE365F"/>
    <w:rsid w:val="00EE5826"/>
    <w:rsid w:val="00EF279E"/>
    <w:rsid w:val="00EF5253"/>
    <w:rsid w:val="00EF57C0"/>
    <w:rsid w:val="00EF6130"/>
    <w:rsid w:val="00F02461"/>
    <w:rsid w:val="00F06BE5"/>
    <w:rsid w:val="00F179CD"/>
    <w:rsid w:val="00F34279"/>
    <w:rsid w:val="00F43867"/>
    <w:rsid w:val="00F441E3"/>
    <w:rsid w:val="00F45FEA"/>
    <w:rsid w:val="00F517FA"/>
    <w:rsid w:val="00F52660"/>
    <w:rsid w:val="00F52A25"/>
    <w:rsid w:val="00F52C5E"/>
    <w:rsid w:val="00F53EC1"/>
    <w:rsid w:val="00F60C3C"/>
    <w:rsid w:val="00F64F72"/>
    <w:rsid w:val="00F67656"/>
    <w:rsid w:val="00F70B08"/>
    <w:rsid w:val="00F712A0"/>
    <w:rsid w:val="00F75C04"/>
    <w:rsid w:val="00F80572"/>
    <w:rsid w:val="00F85F3A"/>
    <w:rsid w:val="00F879F4"/>
    <w:rsid w:val="00F92C4B"/>
    <w:rsid w:val="00F968D9"/>
    <w:rsid w:val="00FA2371"/>
    <w:rsid w:val="00FA5D23"/>
    <w:rsid w:val="00FB0379"/>
    <w:rsid w:val="00FB5824"/>
    <w:rsid w:val="00FC1070"/>
    <w:rsid w:val="00FC1BFA"/>
    <w:rsid w:val="00FC5904"/>
    <w:rsid w:val="00FD0CEC"/>
    <w:rsid w:val="00FD453C"/>
    <w:rsid w:val="00FD4DAE"/>
    <w:rsid w:val="00FD5EA2"/>
    <w:rsid w:val="00FE169E"/>
    <w:rsid w:val="00FE30A4"/>
    <w:rsid w:val="00FF2A1C"/>
    <w:rsid w:val="00FF6441"/>
    <w:rsid w:val="125140DB"/>
    <w:rsid w:val="185F3C3E"/>
    <w:rsid w:val="2EFEE77E"/>
    <w:rsid w:val="30CC205B"/>
    <w:rsid w:val="3419A1DD"/>
    <w:rsid w:val="459E33DF"/>
    <w:rsid w:val="4C8CE605"/>
    <w:rsid w:val="53FE50C6"/>
    <w:rsid w:val="57C8FA85"/>
    <w:rsid w:val="641D703B"/>
    <w:rsid w:val="682992D6"/>
    <w:rsid w:val="6A4BABD2"/>
    <w:rsid w:val="72764A15"/>
    <w:rsid w:val="772A5A75"/>
    <w:rsid w:val="797DF1C7"/>
    <w:rsid w:val="7A067DE4"/>
    <w:rsid w:val="7B97B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FEE9"/>
  <w15:chartTrackingRefBased/>
  <w15:docId w15:val="{B7F816EE-F2B6-474B-B8CD-CD81718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D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D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5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HWATitle">
    <w:name w:val="FHWA Title"/>
    <w:basedOn w:val="Heading1"/>
    <w:qFormat/>
    <w:rsid w:val="00341910"/>
    <w:rPr>
      <w:rFonts w:ascii="Calibri" w:eastAsia="Times New Roman" w:hAnsi="Calibri" w:cs="Calibri"/>
      <w:b/>
      <w:color w:val="194178"/>
      <w:szCs w:val="44"/>
    </w:rPr>
  </w:style>
  <w:style w:type="paragraph" w:customStyle="1" w:styleId="FHWASubtitle">
    <w:name w:val="FHWA Subtitle"/>
    <w:basedOn w:val="Heading2"/>
    <w:qFormat/>
    <w:rsid w:val="00341910"/>
    <w:rPr>
      <w:rFonts w:ascii="Arial" w:eastAsia="Times New Roman" w:hAnsi="Arial" w:cs="Arial"/>
      <w:bCs/>
      <w:color w:val="385623" w:themeColor="accent6" w:themeShade="80"/>
      <w:sz w:val="28"/>
      <w:szCs w:val="34"/>
    </w:rPr>
  </w:style>
  <w:style w:type="paragraph" w:customStyle="1" w:styleId="FHWAParagraghHeading">
    <w:name w:val="FHWA Paragragh Heading"/>
    <w:basedOn w:val="Heading3"/>
    <w:qFormat/>
    <w:rsid w:val="00341910"/>
    <w:rPr>
      <w:rFonts w:ascii="Arial" w:eastAsia="Times New Roman" w:hAnsi="Arial" w:cs="Arial"/>
      <w:bCs/>
      <w:color w:val="385623"/>
    </w:rPr>
  </w:style>
  <w:style w:type="paragraph" w:customStyle="1" w:styleId="Style1">
    <w:name w:val="Style1"/>
    <w:basedOn w:val="Normal"/>
    <w:qFormat/>
    <w:rsid w:val="001E1D5E"/>
    <w:rPr>
      <w:rFonts w:ascii="Arial" w:hAnsi="Arial" w:cs="Arial"/>
      <w:color w:val="212529"/>
    </w:rPr>
  </w:style>
  <w:style w:type="character" w:customStyle="1" w:styleId="Heading1Char">
    <w:name w:val="Heading 1 Char"/>
    <w:basedOn w:val="DefaultParagraphFont"/>
    <w:link w:val="Heading1"/>
    <w:uiPriority w:val="9"/>
    <w:rsid w:val="001E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D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07C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7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7C73"/>
    <w:pPr>
      <w:ind w:left="1660" w:hanging="360"/>
    </w:pPr>
  </w:style>
  <w:style w:type="character" w:customStyle="1" w:styleId="ListParagraphChar">
    <w:name w:val="List Paragraph Char"/>
    <w:link w:val="ListParagraph"/>
    <w:uiPriority w:val="34"/>
    <w:locked/>
    <w:rsid w:val="00107C7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7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C7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C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C73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5415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5415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33137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313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33313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31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33137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333137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333137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333137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333137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333137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33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13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47D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47D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C5514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AF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5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D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DEA"/>
    <w:rPr>
      <w:vertAlign w:val="superscript"/>
    </w:rPr>
  </w:style>
  <w:style w:type="paragraph" w:styleId="Revision">
    <w:name w:val="Revision"/>
    <w:hidden/>
    <w:uiPriority w:val="99"/>
    <w:semiHidden/>
    <w:rsid w:val="008C3D8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85F3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4D411E"/>
  </w:style>
  <w:style w:type="character" w:customStyle="1" w:styleId="cf01">
    <w:name w:val="cf01"/>
    <w:basedOn w:val="DefaultParagraphFont"/>
    <w:rsid w:val="00283C8E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80572"/>
    <w:rPr>
      <w:color w:val="808080"/>
    </w:rPr>
  </w:style>
  <w:style w:type="character" w:styleId="Emphasis">
    <w:name w:val="Emphasis"/>
    <w:basedOn w:val="DefaultParagraphFont"/>
    <w:uiPriority w:val="20"/>
    <w:qFormat/>
    <w:rsid w:val="00F80572"/>
    <w:rPr>
      <w:i/>
      <w:iCs/>
    </w:rPr>
  </w:style>
  <w:style w:type="character" w:customStyle="1" w:styleId="normaltextrun">
    <w:name w:val="normaltextrun"/>
    <w:basedOn w:val="DefaultParagraphFont"/>
    <w:rsid w:val="0074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3/chapter-I/subchapter-G/part-68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23/chapter-I/subchapter-G/part-6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reeningtool.geoplatform.gov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ecfr.gov%2Fcurrent%2Ftitle-23%2Fchapter-I%2Fsubchapter-G%2Fpart-680&amp;data=05%7C01%7Csuraiya.motsinger%40dot.gov%7C11f19a3c7dbc48a4ca9908dbbeb8457d%7Cc4cd245b44f04395a1aa3848d258f78b%7C0%7C0%7C638313470867974580%7CUnknown%7CTWFpbGZsb3d8eyJWIjoiMC4wLjAwMDAiLCJQIjoiV2luMzIiLCJBTiI6Ik1haWwiLCJXVCI6Mn0%3D%7C3000%7C%7C%7C&amp;sdata=z%2B9DB%2FYK16ePewj%2BxIc2q%2FrT6pZnckifuI%2BVtYqLF4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AC2EBEC85CC4BAF5EA1A471205E37" ma:contentTypeVersion="14" ma:contentTypeDescription="Create a new document." ma:contentTypeScope="" ma:versionID="386ca86b66498add96aca6af7680fead">
  <xsd:schema xmlns:xsd="http://www.w3.org/2001/XMLSchema" xmlns:xs="http://www.w3.org/2001/XMLSchema" xmlns:p="http://schemas.microsoft.com/office/2006/metadata/properties" xmlns:ns2="bb1b4f7a-9ef8-4a9f-89de-7eb5dcf7a11e" xmlns:ns3="a4932b09-c32f-42b1-bb63-8a653c87ea46" targetNamespace="http://schemas.microsoft.com/office/2006/metadata/properties" ma:root="true" ma:fieldsID="c2fa160c4165233a43d241d074f31589" ns2:_="" ns3:_="">
    <xsd:import namespace="bb1b4f7a-9ef8-4a9f-89de-7eb5dcf7a11e"/>
    <xsd:import namespace="a4932b09-c32f-42b1-bb63-8a653c87e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4f7a-9ef8-4a9f-89de-7eb5dcf7a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32b09-c32f-42b1-bb63-8a653c87e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0583990-350d-4dcb-adb1-9cb0f3aed996}" ma:internalName="TaxCatchAll" ma:showField="CatchAllData" ma:web="a4932b09-c32f-42b1-bb63-8a653c87e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b4f7a-9ef8-4a9f-89de-7eb5dcf7a11e">
      <Terms xmlns="http://schemas.microsoft.com/office/infopath/2007/PartnerControls"/>
    </lcf76f155ced4ddcb4097134ff3c332f>
    <TaxCatchAll xmlns="a4932b09-c32f-42b1-bb63-8a653c87ea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1292-6FF3-410A-9EBC-624F3879F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02881-DE2E-4F39-BC95-BF95AD5C6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b4f7a-9ef8-4a9f-89de-7eb5dcf7a11e"/>
    <ds:schemaRef ds:uri="a4932b09-c32f-42b1-bb63-8a653c87e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2E521-89DE-4043-ACB9-8BC3D3FAB3B0}">
  <ds:schemaRefs>
    <ds:schemaRef ds:uri="http://schemas.microsoft.com/office/2006/metadata/properties"/>
    <ds:schemaRef ds:uri="http://schemas.microsoft.com/office/infopath/2007/PartnerControls"/>
    <ds:schemaRef ds:uri="bb1b4f7a-9ef8-4a9f-89de-7eb5dcf7a11e"/>
    <ds:schemaRef ds:uri="a4932b09-c32f-42b1-bb63-8a653c87ea46"/>
  </ds:schemaRefs>
</ds:datastoreItem>
</file>

<file path=customXml/itemProps4.xml><?xml version="1.0" encoding="utf-8"?>
<ds:datastoreItem xmlns:ds="http://schemas.openxmlformats.org/officeDocument/2006/customXml" ds:itemID="{70DF8B73-72FD-406D-BFC2-A79BEA7F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Andrew (FHWA)</dc:creator>
  <cp:keywords/>
  <dc:description/>
  <cp:lastModifiedBy>Jensen, Gary (FHWA)</cp:lastModifiedBy>
  <cp:revision>3</cp:revision>
  <dcterms:created xsi:type="dcterms:W3CDTF">2024-06-11T14:56:00Z</dcterms:created>
  <dcterms:modified xsi:type="dcterms:W3CDTF">2024-06-11T14:56:00Z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0x0101009CFAC2EBEC85CC4BAF5EA1A471205E37</vt:lpwstr>
  </property>
  <property fmtid="{D5CDD505-2E9C-101B-9397-08002B2CF9AE}" pid="3" name="MediaServiceImageTags">
    <vt:lpwstr/>
  </property>
</Properties>
</file>